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Look w:val="04A0" w:firstRow="1" w:lastRow="0" w:firstColumn="1" w:lastColumn="0" w:noHBand="0" w:noVBand="1"/>
      </w:tblPr>
      <w:tblGrid>
        <w:gridCol w:w="2547"/>
        <w:gridCol w:w="7081"/>
      </w:tblGrid>
      <w:tr w:rsidR="00FA3361" w:rsidRPr="003256DC" w14:paraId="31D08F12" w14:textId="77777777" w:rsidTr="00FA3361">
        <w:tc>
          <w:tcPr>
            <w:tcW w:w="2547" w:type="dxa"/>
          </w:tcPr>
          <w:p w14:paraId="77B78DCE" w14:textId="49E0220B" w:rsidR="00FA3361" w:rsidRPr="00EE0786" w:rsidRDefault="00FA3361" w:rsidP="00FA3361">
            <w:pPr>
              <w:rPr>
                <w:color w:val="auto"/>
                <w:lang w:val="fi-FI"/>
              </w:rPr>
            </w:pPr>
            <w:r w:rsidRPr="00EE0786">
              <w:rPr>
                <w:color w:val="auto"/>
                <w:lang w:val="fi-FI"/>
              </w:rPr>
              <w:t xml:space="preserve">1. </w:t>
            </w:r>
            <w:r w:rsidR="00263A37" w:rsidRPr="00EE0786">
              <w:rPr>
                <w:color w:val="auto"/>
                <w:lang w:val="fi-FI"/>
              </w:rPr>
              <w:t>Rekisterin nimi</w:t>
            </w:r>
          </w:p>
        </w:tc>
        <w:tc>
          <w:tcPr>
            <w:tcW w:w="7081" w:type="dxa"/>
          </w:tcPr>
          <w:p w14:paraId="57C814BE" w14:textId="16DBB9BB" w:rsidR="00FA3361" w:rsidRPr="00EE0786" w:rsidRDefault="000268A3" w:rsidP="00FA3361">
            <w:pPr>
              <w:rPr>
                <w:color w:val="auto"/>
                <w:lang w:val="fi-FI"/>
              </w:rPr>
            </w:pPr>
            <w:proofErr w:type="spellStart"/>
            <w:r w:rsidRPr="00EE0786">
              <w:rPr>
                <w:color w:val="auto"/>
                <w:lang w:val="fi-FI"/>
              </w:rPr>
              <w:t>First</w:t>
            </w:r>
            <w:proofErr w:type="spellEnd"/>
            <w:r w:rsidRPr="00EE0786">
              <w:rPr>
                <w:color w:val="auto"/>
                <w:lang w:val="fi-FI"/>
              </w:rPr>
              <w:t xml:space="preserve"> </w:t>
            </w:r>
            <w:proofErr w:type="spellStart"/>
            <w:r w:rsidRPr="00EE0786">
              <w:rPr>
                <w:color w:val="auto"/>
                <w:lang w:val="fi-FI"/>
              </w:rPr>
              <w:t>Whistle</w:t>
            </w:r>
            <w:proofErr w:type="spellEnd"/>
            <w:r w:rsidRPr="00EE0786">
              <w:rPr>
                <w:color w:val="auto"/>
                <w:lang w:val="fi-FI"/>
              </w:rPr>
              <w:t xml:space="preserve"> </w:t>
            </w:r>
            <w:r w:rsidR="00784CD1" w:rsidRPr="00EE0786">
              <w:rPr>
                <w:color w:val="auto"/>
                <w:lang w:val="fi-FI"/>
              </w:rPr>
              <w:t>-ilmoituskanava</w:t>
            </w:r>
          </w:p>
        </w:tc>
      </w:tr>
      <w:tr w:rsidR="00FA3361" w:rsidRPr="003256DC" w14:paraId="224340D5" w14:textId="77777777" w:rsidTr="00FA3361">
        <w:tc>
          <w:tcPr>
            <w:tcW w:w="2547" w:type="dxa"/>
          </w:tcPr>
          <w:p w14:paraId="290D7B69" w14:textId="2E241347" w:rsidR="00FA3361" w:rsidRPr="00EE0786" w:rsidRDefault="00263A37" w:rsidP="00FA3361">
            <w:pPr>
              <w:rPr>
                <w:color w:val="auto"/>
                <w:lang w:val="fi-FI"/>
              </w:rPr>
            </w:pPr>
            <w:r w:rsidRPr="00EE0786">
              <w:rPr>
                <w:color w:val="auto"/>
                <w:lang w:val="fi-FI"/>
              </w:rPr>
              <w:t>2. Rekisterinpitäjä</w:t>
            </w:r>
          </w:p>
        </w:tc>
        <w:tc>
          <w:tcPr>
            <w:tcW w:w="7081" w:type="dxa"/>
          </w:tcPr>
          <w:p w14:paraId="62D363EB" w14:textId="77777777" w:rsidR="00FA3361" w:rsidRPr="00EE0786" w:rsidRDefault="00784CD1" w:rsidP="00FA3361">
            <w:pPr>
              <w:rPr>
                <w:color w:val="auto"/>
                <w:lang w:val="en-US"/>
              </w:rPr>
            </w:pPr>
            <w:r w:rsidRPr="00EE0786">
              <w:rPr>
                <w:color w:val="auto"/>
                <w:lang w:val="en-US"/>
              </w:rPr>
              <w:t>Neomore Consulting Oy</w:t>
            </w:r>
          </w:p>
          <w:p w14:paraId="12A124FF" w14:textId="77777777" w:rsidR="00090377" w:rsidRPr="00EE0786" w:rsidRDefault="00090377" w:rsidP="00090377">
            <w:pPr>
              <w:rPr>
                <w:color w:val="auto"/>
                <w:lang w:val="en-US"/>
              </w:rPr>
            </w:pPr>
            <w:proofErr w:type="spellStart"/>
            <w:r w:rsidRPr="00EE0786">
              <w:rPr>
                <w:color w:val="auto"/>
                <w:lang w:val="en-US"/>
              </w:rPr>
              <w:t>Linnoitustie</w:t>
            </w:r>
            <w:proofErr w:type="spellEnd"/>
            <w:r w:rsidRPr="00EE0786">
              <w:rPr>
                <w:color w:val="auto"/>
                <w:lang w:val="en-US"/>
              </w:rPr>
              <w:t xml:space="preserve"> 6 B 4</w:t>
            </w:r>
          </w:p>
          <w:p w14:paraId="4B14F8DE" w14:textId="77777777" w:rsidR="00090377" w:rsidRPr="00EE0786" w:rsidRDefault="00090377" w:rsidP="00090377">
            <w:pPr>
              <w:rPr>
                <w:color w:val="auto"/>
                <w:lang w:val="en-US"/>
              </w:rPr>
            </w:pPr>
            <w:r w:rsidRPr="00EE0786">
              <w:rPr>
                <w:color w:val="auto"/>
                <w:lang w:val="en-US"/>
              </w:rPr>
              <w:t>02600 Espoo</w:t>
            </w:r>
          </w:p>
          <w:p w14:paraId="54480474" w14:textId="77777777" w:rsidR="00784CD1" w:rsidRPr="00EE0786" w:rsidRDefault="00090377" w:rsidP="00090377">
            <w:pPr>
              <w:rPr>
                <w:color w:val="auto"/>
                <w:lang w:val="en-US"/>
              </w:rPr>
            </w:pPr>
            <w:r w:rsidRPr="00EE0786">
              <w:rPr>
                <w:color w:val="auto"/>
                <w:lang w:val="en-US"/>
              </w:rPr>
              <w:t>Suomi</w:t>
            </w:r>
          </w:p>
          <w:p w14:paraId="054424C5" w14:textId="217C707E" w:rsidR="00090377" w:rsidRPr="00EE0786" w:rsidRDefault="003122E7" w:rsidP="00090377">
            <w:pPr>
              <w:rPr>
                <w:color w:val="auto"/>
                <w:lang w:val="en-US"/>
              </w:rPr>
            </w:pPr>
            <w:r w:rsidRPr="00EE0786">
              <w:rPr>
                <w:color w:val="auto"/>
                <w:lang w:val="en-US"/>
              </w:rPr>
              <w:t>etunimi.sukunimi@neomore.fi</w:t>
            </w:r>
          </w:p>
        </w:tc>
      </w:tr>
      <w:tr w:rsidR="00FA3361" w:rsidRPr="003256DC" w14:paraId="002843C5" w14:textId="77777777" w:rsidTr="00FA3361">
        <w:tc>
          <w:tcPr>
            <w:tcW w:w="2547" w:type="dxa"/>
          </w:tcPr>
          <w:p w14:paraId="091AE5C0" w14:textId="17ADCB6C" w:rsidR="00FA3361" w:rsidRPr="00EE0786" w:rsidRDefault="00263A37" w:rsidP="00FA3361">
            <w:pPr>
              <w:rPr>
                <w:color w:val="auto"/>
                <w:lang w:val="fi-FI"/>
              </w:rPr>
            </w:pPr>
            <w:r w:rsidRPr="00EE0786">
              <w:rPr>
                <w:color w:val="auto"/>
                <w:lang w:val="fi-FI"/>
              </w:rPr>
              <w:t xml:space="preserve">3. </w:t>
            </w:r>
            <w:r w:rsidR="00652A2C" w:rsidRPr="00EE0786">
              <w:rPr>
                <w:color w:val="auto"/>
                <w:lang w:val="fi-FI"/>
              </w:rPr>
              <w:t>Yhteyshenkilöt rekisteriä koskevissa asioissa</w:t>
            </w:r>
          </w:p>
        </w:tc>
        <w:tc>
          <w:tcPr>
            <w:tcW w:w="7081" w:type="dxa"/>
          </w:tcPr>
          <w:p w14:paraId="2408E421" w14:textId="57141CD4" w:rsidR="00FA3361" w:rsidRPr="00EE0786" w:rsidRDefault="009D0E3F" w:rsidP="006D35C5">
            <w:pPr>
              <w:rPr>
                <w:color w:val="auto"/>
                <w:lang w:val="en-US"/>
              </w:rPr>
            </w:pPr>
            <w:r>
              <w:rPr>
                <w:color w:val="auto"/>
                <w:lang w:val="en-US"/>
              </w:rPr>
              <w:t>Valtteri Sell</w:t>
            </w:r>
            <w:r w:rsidR="006D35C5" w:rsidRPr="00EE0786">
              <w:rPr>
                <w:color w:val="auto"/>
                <w:lang w:val="en-US"/>
              </w:rPr>
              <w:t xml:space="preserve">, Head of </w:t>
            </w:r>
            <w:r w:rsidR="00091113">
              <w:rPr>
                <w:color w:val="auto"/>
                <w:lang w:val="en-US"/>
              </w:rPr>
              <w:t>People &amp; Culture</w:t>
            </w:r>
            <w:r w:rsidR="006D35C5" w:rsidRPr="00EE0786">
              <w:rPr>
                <w:color w:val="auto"/>
                <w:lang w:val="en-US"/>
              </w:rPr>
              <w:t xml:space="preserve">, </w:t>
            </w:r>
            <w:r>
              <w:rPr>
                <w:color w:val="auto"/>
                <w:lang w:val="en-US"/>
              </w:rPr>
              <w:t>valtteri.sell</w:t>
            </w:r>
            <w:r w:rsidR="00FC0946" w:rsidRPr="00EE0786">
              <w:rPr>
                <w:color w:val="auto"/>
                <w:lang w:val="en-US"/>
              </w:rPr>
              <w:t>@neomore.fi</w:t>
            </w:r>
          </w:p>
          <w:p w14:paraId="67ECBD55" w14:textId="3F88E072" w:rsidR="00FC0946" w:rsidRPr="00EE0786" w:rsidRDefault="00FC0946" w:rsidP="006D35C5">
            <w:pPr>
              <w:rPr>
                <w:color w:val="auto"/>
                <w:lang w:val="en-US"/>
              </w:rPr>
            </w:pPr>
            <w:r w:rsidRPr="00EE0786">
              <w:rPr>
                <w:color w:val="auto"/>
                <w:lang w:val="en-US"/>
              </w:rPr>
              <w:t>Arto Julkunen, Chief Security Officer, arto.julkunen@neomore.fi</w:t>
            </w:r>
          </w:p>
        </w:tc>
      </w:tr>
      <w:tr w:rsidR="00652A2C" w:rsidRPr="003256DC" w14:paraId="7CE79615" w14:textId="77777777" w:rsidTr="00FA3361">
        <w:tc>
          <w:tcPr>
            <w:tcW w:w="2547" w:type="dxa"/>
          </w:tcPr>
          <w:p w14:paraId="0D15577A" w14:textId="23DD4DC2" w:rsidR="00652A2C" w:rsidRPr="00EE0786" w:rsidRDefault="00652A2C" w:rsidP="00FA3361">
            <w:pPr>
              <w:rPr>
                <w:color w:val="auto"/>
                <w:lang w:val="fi-FI"/>
              </w:rPr>
            </w:pPr>
            <w:r w:rsidRPr="00EE0786">
              <w:rPr>
                <w:color w:val="auto"/>
                <w:lang w:val="fi-FI"/>
              </w:rPr>
              <w:t>4. Henkilötietojen käsittelyn tarkoitukset ja käsittelyn oikeusperuste</w:t>
            </w:r>
          </w:p>
        </w:tc>
        <w:tc>
          <w:tcPr>
            <w:tcW w:w="7081" w:type="dxa"/>
          </w:tcPr>
          <w:p w14:paraId="4231E90A" w14:textId="77777777" w:rsidR="00AF4DD6" w:rsidRPr="00EE0786" w:rsidRDefault="00AF4DD6" w:rsidP="00AF4DD6">
            <w:pPr>
              <w:rPr>
                <w:color w:val="auto"/>
                <w:lang w:val="fi-FI"/>
              </w:rPr>
            </w:pPr>
            <w:r w:rsidRPr="00EE0786">
              <w:rPr>
                <w:color w:val="auto"/>
                <w:lang w:val="fi-FI"/>
              </w:rPr>
              <w:t>Henkilötietojen käsittelyn tarkoituksena on saada tietoa organisaatiossa ja</w:t>
            </w:r>
          </w:p>
          <w:p w14:paraId="0FC60E49" w14:textId="77777777" w:rsidR="00AF4DD6" w:rsidRPr="00EE0786" w:rsidRDefault="00AF4DD6" w:rsidP="00AF4DD6">
            <w:pPr>
              <w:rPr>
                <w:color w:val="auto"/>
                <w:lang w:val="fi-FI"/>
              </w:rPr>
            </w:pPr>
            <w:r w:rsidRPr="00EE0786">
              <w:rPr>
                <w:color w:val="auto"/>
                <w:lang w:val="fi-FI"/>
              </w:rPr>
              <w:t>työyhteisössä epäillystä mahdollisesta väärinkäytöksestä tai epäasiallisesta</w:t>
            </w:r>
          </w:p>
          <w:p w14:paraId="3C1EBE57" w14:textId="77777777" w:rsidR="00AF4DD6" w:rsidRPr="00EE0786" w:rsidRDefault="00AF4DD6" w:rsidP="00AF4DD6">
            <w:pPr>
              <w:rPr>
                <w:color w:val="auto"/>
                <w:lang w:val="fi-FI"/>
              </w:rPr>
            </w:pPr>
            <w:r w:rsidRPr="00EE0786">
              <w:rPr>
                <w:color w:val="auto"/>
                <w:lang w:val="fi-FI"/>
              </w:rPr>
              <w:t>toiminnasta näiden korjaamiseksi, estämiseksi ja oikaisemiseksi.</w:t>
            </w:r>
          </w:p>
          <w:p w14:paraId="73CBD896" w14:textId="77777777" w:rsidR="0057606E" w:rsidRPr="00EE0786" w:rsidRDefault="0057606E" w:rsidP="00AF4DD6">
            <w:pPr>
              <w:rPr>
                <w:color w:val="auto"/>
                <w:lang w:val="fi-FI"/>
              </w:rPr>
            </w:pPr>
          </w:p>
          <w:p w14:paraId="0278F5D0" w14:textId="77777777" w:rsidR="00AF4DD6" w:rsidRPr="00EE0786" w:rsidRDefault="00AF4DD6" w:rsidP="00AF4DD6">
            <w:pPr>
              <w:rPr>
                <w:color w:val="auto"/>
                <w:lang w:val="fi-FI"/>
              </w:rPr>
            </w:pPr>
            <w:r w:rsidRPr="00EE0786">
              <w:rPr>
                <w:color w:val="auto"/>
                <w:lang w:val="fi-FI"/>
              </w:rPr>
              <w:t>Rekisterin käsittelyn oikeusperusteena on rekisterinpitäjän lakisääteisen</w:t>
            </w:r>
          </w:p>
          <w:p w14:paraId="757AD6BF" w14:textId="77777777" w:rsidR="00AF4DD6" w:rsidRPr="00EE0786" w:rsidRDefault="00AF4DD6" w:rsidP="00AF4DD6">
            <w:pPr>
              <w:rPr>
                <w:i/>
                <w:iCs/>
                <w:color w:val="auto"/>
                <w:lang w:val="fi-FI"/>
              </w:rPr>
            </w:pPr>
            <w:r w:rsidRPr="00EE0786">
              <w:rPr>
                <w:color w:val="auto"/>
                <w:lang w:val="fi-FI"/>
              </w:rPr>
              <w:t xml:space="preserve">velvoitteiden noudattaminen </w:t>
            </w:r>
            <w:r w:rsidRPr="00EE0786">
              <w:rPr>
                <w:i/>
                <w:iCs/>
                <w:color w:val="auto"/>
                <w:lang w:val="fi-FI"/>
              </w:rPr>
              <w:t>(Euroopan parlamentin ja neuvoston direktiivi</w:t>
            </w:r>
          </w:p>
          <w:p w14:paraId="048D4159" w14:textId="77777777" w:rsidR="00AF4DD6" w:rsidRPr="00EE0786" w:rsidRDefault="00AF4DD6" w:rsidP="00AF4DD6">
            <w:pPr>
              <w:rPr>
                <w:i/>
                <w:iCs/>
                <w:color w:val="auto"/>
                <w:lang w:val="fi-FI"/>
              </w:rPr>
            </w:pPr>
            <w:r w:rsidRPr="00EE0786">
              <w:rPr>
                <w:i/>
                <w:iCs/>
                <w:color w:val="auto"/>
                <w:lang w:val="fi-FI"/>
              </w:rPr>
              <w:t>(EU) 2019/1937 sekä laki Euroopan unionin ja kansallisen oikeuden</w:t>
            </w:r>
          </w:p>
          <w:p w14:paraId="3A10A35D" w14:textId="77777777" w:rsidR="00AF4DD6" w:rsidRPr="00EE0786" w:rsidRDefault="00AF4DD6" w:rsidP="00AF4DD6">
            <w:pPr>
              <w:rPr>
                <w:color w:val="auto"/>
                <w:lang w:val="fi-FI"/>
              </w:rPr>
            </w:pPr>
            <w:r w:rsidRPr="00EE0786">
              <w:rPr>
                <w:i/>
                <w:iCs/>
                <w:color w:val="auto"/>
                <w:lang w:val="fi-FI"/>
              </w:rPr>
              <w:t>rikkomisesta ilmoittavien henkilöiden suojelusta (1171/2022))</w:t>
            </w:r>
            <w:r w:rsidRPr="00EE0786">
              <w:rPr>
                <w:color w:val="auto"/>
                <w:lang w:val="fi-FI"/>
              </w:rPr>
              <w:t xml:space="preserve"> ja ilmoittajan</w:t>
            </w:r>
          </w:p>
          <w:p w14:paraId="2B57EAD2" w14:textId="77777777" w:rsidR="00AF4DD6" w:rsidRPr="00EE0786" w:rsidRDefault="00AF4DD6" w:rsidP="00AF4DD6">
            <w:pPr>
              <w:rPr>
                <w:color w:val="auto"/>
                <w:lang w:val="fi-FI"/>
              </w:rPr>
            </w:pPr>
            <w:r w:rsidRPr="00EE0786">
              <w:rPr>
                <w:color w:val="auto"/>
                <w:lang w:val="fi-FI"/>
              </w:rPr>
              <w:t>antama suostumus ilmoituksen teon yhteydessä, mikäli ilmoittaja ei tee</w:t>
            </w:r>
          </w:p>
          <w:p w14:paraId="401852AC" w14:textId="77777777" w:rsidR="00652A2C" w:rsidRPr="00EE0786" w:rsidRDefault="00AF4DD6" w:rsidP="00AF4DD6">
            <w:pPr>
              <w:rPr>
                <w:color w:val="auto"/>
                <w:lang w:val="fi-FI"/>
              </w:rPr>
            </w:pPr>
            <w:r w:rsidRPr="00EE0786">
              <w:rPr>
                <w:color w:val="auto"/>
                <w:lang w:val="fi-FI"/>
              </w:rPr>
              <w:t>ilmoitusta anonyymina.</w:t>
            </w:r>
          </w:p>
          <w:p w14:paraId="43FA1795" w14:textId="77777777" w:rsidR="00AF4DD6" w:rsidRPr="00EE0786" w:rsidRDefault="00AF4DD6" w:rsidP="00AF4DD6">
            <w:pPr>
              <w:rPr>
                <w:color w:val="auto"/>
                <w:lang w:val="fi-FI"/>
              </w:rPr>
            </w:pPr>
          </w:p>
          <w:p w14:paraId="255252EF" w14:textId="7831811E" w:rsidR="00A832E2" w:rsidRPr="00EE0786" w:rsidRDefault="00A832E2" w:rsidP="00A832E2">
            <w:pPr>
              <w:rPr>
                <w:color w:val="auto"/>
                <w:lang w:val="fi-FI"/>
              </w:rPr>
            </w:pPr>
            <w:r w:rsidRPr="00EE0786">
              <w:rPr>
                <w:color w:val="auto"/>
                <w:lang w:val="fi-FI"/>
              </w:rPr>
              <w:t>Mikäli työntekijä, yhteistyökumppani tai Neomore Consulting Oy:n</w:t>
            </w:r>
          </w:p>
          <w:p w14:paraId="62445A49" w14:textId="77777777" w:rsidR="00A832E2" w:rsidRPr="00EE0786" w:rsidRDefault="00A832E2" w:rsidP="00A832E2">
            <w:pPr>
              <w:rPr>
                <w:color w:val="auto"/>
                <w:lang w:val="fi-FI"/>
              </w:rPr>
            </w:pPr>
            <w:r w:rsidRPr="00EE0786">
              <w:rPr>
                <w:color w:val="auto"/>
                <w:lang w:val="fi-FI"/>
              </w:rPr>
              <w:t>kanssa muutoin työnsä puolesta tekemisissä oleva henkilö epäilee</w:t>
            </w:r>
          </w:p>
          <w:p w14:paraId="2D9EE212" w14:textId="16C7A4F4" w:rsidR="00A832E2" w:rsidRPr="00EE0786" w:rsidRDefault="00A832E2" w:rsidP="00A832E2">
            <w:pPr>
              <w:rPr>
                <w:color w:val="auto"/>
                <w:lang w:val="fi-FI"/>
              </w:rPr>
            </w:pPr>
            <w:r w:rsidRPr="00EE0786">
              <w:rPr>
                <w:color w:val="auto"/>
                <w:lang w:val="fi-FI"/>
              </w:rPr>
              <w:t xml:space="preserve">väärinkäytöstä, hän voi tehdä asiasta ilmoituksen </w:t>
            </w:r>
            <w:proofErr w:type="spellStart"/>
            <w:r w:rsidR="000268A3" w:rsidRPr="00EE0786">
              <w:rPr>
                <w:color w:val="auto"/>
                <w:lang w:val="fi-FI"/>
              </w:rPr>
              <w:t>First</w:t>
            </w:r>
            <w:proofErr w:type="spellEnd"/>
            <w:r w:rsidR="000268A3" w:rsidRPr="00EE0786">
              <w:rPr>
                <w:color w:val="auto"/>
                <w:lang w:val="fi-FI"/>
              </w:rPr>
              <w:t xml:space="preserve"> </w:t>
            </w:r>
            <w:proofErr w:type="spellStart"/>
            <w:r w:rsidR="000268A3" w:rsidRPr="00EE0786">
              <w:rPr>
                <w:color w:val="auto"/>
                <w:lang w:val="fi-FI"/>
              </w:rPr>
              <w:t>Whistle</w:t>
            </w:r>
            <w:proofErr w:type="spellEnd"/>
            <w:r w:rsidR="000268A3" w:rsidRPr="00EE0786">
              <w:rPr>
                <w:color w:val="auto"/>
                <w:lang w:val="fi-FI"/>
              </w:rPr>
              <w:t xml:space="preserve"> -ilmoituskanavan </w:t>
            </w:r>
            <w:r w:rsidRPr="00EE0786">
              <w:rPr>
                <w:color w:val="auto"/>
                <w:lang w:val="fi-FI"/>
              </w:rPr>
              <w:t>kautta</w:t>
            </w:r>
            <w:r w:rsidR="00D90218" w:rsidRPr="00EE0786">
              <w:rPr>
                <w:color w:val="auto"/>
                <w:lang w:val="fi-FI"/>
              </w:rPr>
              <w:t>.</w:t>
            </w:r>
          </w:p>
          <w:p w14:paraId="7B594673" w14:textId="77777777" w:rsidR="00D90218" w:rsidRPr="00EE0786" w:rsidRDefault="00D90218" w:rsidP="00A832E2">
            <w:pPr>
              <w:rPr>
                <w:color w:val="auto"/>
                <w:lang w:val="fi-FI"/>
              </w:rPr>
            </w:pPr>
          </w:p>
          <w:p w14:paraId="21B6A4AA" w14:textId="77777777" w:rsidR="00D90218" w:rsidRPr="00EE0786" w:rsidRDefault="00D90218" w:rsidP="00D90218">
            <w:pPr>
              <w:rPr>
                <w:color w:val="auto"/>
                <w:lang w:val="fi-FI"/>
              </w:rPr>
            </w:pPr>
            <w:r w:rsidRPr="00EE0786">
              <w:rPr>
                <w:color w:val="auto"/>
                <w:lang w:val="fi-FI"/>
              </w:rPr>
              <w:t>Ilmoituksia voi tehdä alla olevia soveltamisaloja koskien siltä osin kuin ne</w:t>
            </w:r>
          </w:p>
          <w:p w14:paraId="76D7D5FC" w14:textId="61DA7027" w:rsidR="00D90218" w:rsidRPr="00EE0786" w:rsidRDefault="00D90218" w:rsidP="00D90218">
            <w:pPr>
              <w:rPr>
                <w:color w:val="auto"/>
                <w:lang w:val="fi-FI"/>
              </w:rPr>
            </w:pPr>
            <w:r w:rsidRPr="00EE0786">
              <w:rPr>
                <w:color w:val="auto"/>
                <w:lang w:val="fi-FI"/>
              </w:rPr>
              <w:t>koskevat Neomore Consulting Oy:n toimintaa</w:t>
            </w:r>
          </w:p>
          <w:p w14:paraId="513928A5" w14:textId="77777777" w:rsidR="00D90218" w:rsidRPr="00EE0786" w:rsidRDefault="00D90218" w:rsidP="00D90218">
            <w:pPr>
              <w:rPr>
                <w:color w:val="auto"/>
                <w:lang w:val="fi-FI"/>
              </w:rPr>
            </w:pPr>
            <w:r w:rsidRPr="00EE0786">
              <w:rPr>
                <w:color w:val="auto"/>
                <w:lang w:val="fi-FI"/>
              </w:rPr>
              <w:t>(ilmoittajansuojelulaki (1171/2022) 2 § soveltamisalat):</w:t>
            </w:r>
          </w:p>
          <w:p w14:paraId="18D924C6" w14:textId="77777777" w:rsidR="00D90218" w:rsidRPr="00EE0786" w:rsidRDefault="00D90218" w:rsidP="00D90218">
            <w:pPr>
              <w:ind w:left="1304"/>
              <w:rPr>
                <w:color w:val="auto"/>
                <w:lang w:val="fi-FI"/>
              </w:rPr>
            </w:pPr>
            <w:r w:rsidRPr="00EE0786">
              <w:rPr>
                <w:color w:val="auto"/>
                <w:lang w:val="fi-FI"/>
              </w:rPr>
              <w:t>• julkiset hankinnat;</w:t>
            </w:r>
          </w:p>
          <w:p w14:paraId="5D6489CF" w14:textId="77777777" w:rsidR="00D90218" w:rsidRPr="00EE0786" w:rsidRDefault="00D90218" w:rsidP="00D90218">
            <w:pPr>
              <w:ind w:left="1304"/>
              <w:rPr>
                <w:color w:val="auto"/>
                <w:lang w:val="fi-FI"/>
              </w:rPr>
            </w:pPr>
            <w:r w:rsidRPr="00EE0786">
              <w:rPr>
                <w:color w:val="auto"/>
                <w:lang w:val="fi-FI"/>
              </w:rPr>
              <w:t>• finanssipalvelut, -tuotteet ja -markkinat;</w:t>
            </w:r>
          </w:p>
          <w:p w14:paraId="7507A7C8" w14:textId="77777777" w:rsidR="00D90218" w:rsidRPr="00EE0786" w:rsidRDefault="00D90218" w:rsidP="00D90218">
            <w:pPr>
              <w:ind w:left="1304"/>
              <w:rPr>
                <w:color w:val="auto"/>
                <w:lang w:val="fi-FI"/>
              </w:rPr>
            </w:pPr>
            <w:r w:rsidRPr="00EE0786">
              <w:rPr>
                <w:color w:val="auto"/>
                <w:lang w:val="fi-FI"/>
              </w:rPr>
              <w:t>• rahanpesun ja terrorismin rahoituksen ehkäiseminen;</w:t>
            </w:r>
          </w:p>
          <w:p w14:paraId="41BC9ED7" w14:textId="77777777" w:rsidR="00D90218" w:rsidRPr="00EE0786" w:rsidRDefault="00D90218" w:rsidP="00D90218">
            <w:pPr>
              <w:ind w:left="1304"/>
              <w:rPr>
                <w:color w:val="auto"/>
                <w:lang w:val="fi-FI"/>
              </w:rPr>
            </w:pPr>
            <w:r w:rsidRPr="00EE0786">
              <w:rPr>
                <w:color w:val="auto"/>
                <w:lang w:val="fi-FI"/>
              </w:rPr>
              <w:t>• tuoteturvallisuus ja vaatimustenmukaisuus;</w:t>
            </w:r>
          </w:p>
          <w:p w14:paraId="7C266941" w14:textId="77777777" w:rsidR="00D90218" w:rsidRPr="00EE0786" w:rsidRDefault="00D90218" w:rsidP="00D90218">
            <w:pPr>
              <w:ind w:left="1304"/>
              <w:rPr>
                <w:color w:val="auto"/>
                <w:lang w:val="fi-FI"/>
              </w:rPr>
            </w:pPr>
            <w:r w:rsidRPr="00EE0786">
              <w:rPr>
                <w:color w:val="auto"/>
                <w:lang w:val="fi-FI"/>
              </w:rPr>
              <w:t>• liikenneturvallisuus;</w:t>
            </w:r>
          </w:p>
          <w:p w14:paraId="68A0E9EE" w14:textId="77777777" w:rsidR="00D90218" w:rsidRPr="00EE0786" w:rsidRDefault="00D90218" w:rsidP="00D90218">
            <w:pPr>
              <w:ind w:left="1304"/>
              <w:rPr>
                <w:color w:val="auto"/>
                <w:lang w:val="fi-FI"/>
              </w:rPr>
            </w:pPr>
            <w:r w:rsidRPr="00EE0786">
              <w:rPr>
                <w:color w:val="auto"/>
                <w:lang w:val="fi-FI"/>
              </w:rPr>
              <w:t>• ympäristönsuojelu;</w:t>
            </w:r>
          </w:p>
          <w:p w14:paraId="003B5177" w14:textId="77777777" w:rsidR="00D90218" w:rsidRPr="00EE0786" w:rsidRDefault="00D90218" w:rsidP="00D90218">
            <w:pPr>
              <w:ind w:left="1304"/>
              <w:rPr>
                <w:color w:val="auto"/>
                <w:lang w:val="fi-FI"/>
              </w:rPr>
            </w:pPr>
            <w:r w:rsidRPr="00EE0786">
              <w:rPr>
                <w:color w:val="auto"/>
                <w:lang w:val="fi-FI"/>
              </w:rPr>
              <w:t>• säteilyturva ja ydinturvallisuus;</w:t>
            </w:r>
          </w:p>
          <w:p w14:paraId="7EB0FB53" w14:textId="77777777" w:rsidR="00D90218" w:rsidRPr="00EE0786" w:rsidRDefault="00D90218" w:rsidP="00D90218">
            <w:pPr>
              <w:ind w:left="1304"/>
              <w:rPr>
                <w:color w:val="auto"/>
                <w:lang w:val="fi-FI"/>
              </w:rPr>
            </w:pPr>
            <w:r w:rsidRPr="00EE0786">
              <w:rPr>
                <w:color w:val="auto"/>
                <w:lang w:val="fi-FI"/>
              </w:rPr>
              <w:t>• elintarvikkeiden ja rehujen turvallisuus, eläinten terveys ja hyvinvointi;</w:t>
            </w:r>
          </w:p>
          <w:p w14:paraId="66A688BA" w14:textId="77777777" w:rsidR="00D90218" w:rsidRPr="00EE0786" w:rsidRDefault="00D90218" w:rsidP="00D90218">
            <w:pPr>
              <w:ind w:left="1304"/>
              <w:rPr>
                <w:color w:val="auto"/>
                <w:lang w:val="fi-FI"/>
              </w:rPr>
            </w:pPr>
            <w:r w:rsidRPr="00EE0786">
              <w:rPr>
                <w:color w:val="auto"/>
                <w:lang w:val="fi-FI"/>
              </w:rPr>
              <w:t>• Euroopan unionin toiminnasta annetun sopimuksen 168 artiklan tarkoittama</w:t>
            </w:r>
          </w:p>
          <w:p w14:paraId="1DD82D40" w14:textId="77777777" w:rsidR="00D90218" w:rsidRPr="00EE0786" w:rsidRDefault="00D90218" w:rsidP="00D90218">
            <w:pPr>
              <w:ind w:left="1304"/>
              <w:rPr>
                <w:color w:val="auto"/>
                <w:lang w:val="fi-FI"/>
              </w:rPr>
            </w:pPr>
            <w:r w:rsidRPr="00EE0786">
              <w:rPr>
                <w:color w:val="auto"/>
                <w:lang w:val="fi-FI"/>
              </w:rPr>
              <w:t>kansanterveys;</w:t>
            </w:r>
          </w:p>
          <w:p w14:paraId="094CB663" w14:textId="77777777" w:rsidR="00D90218" w:rsidRPr="00EE0786" w:rsidRDefault="00D90218" w:rsidP="00D90218">
            <w:pPr>
              <w:ind w:left="1304"/>
              <w:rPr>
                <w:color w:val="auto"/>
                <w:lang w:val="fi-FI"/>
              </w:rPr>
            </w:pPr>
            <w:r w:rsidRPr="00EE0786">
              <w:rPr>
                <w:color w:val="auto"/>
                <w:lang w:val="fi-FI"/>
              </w:rPr>
              <w:t>• kuluttajansuoja;</w:t>
            </w:r>
          </w:p>
          <w:p w14:paraId="5EFDA80A" w14:textId="3F4441A9" w:rsidR="00D90218" w:rsidRPr="00EE0786" w:rsidRDefault="00D90218" w:rsidP="00D90218">
            <w:pPr>
              <w:ind w:left="1304"/>
              <w:rPr>
                <w:color w:val="auto"/>
                <w:lang w:val="fi-FI"/>
              </w:rPr>
            </w:pPr>
            <w:r w:rsidRPr="00EE0786">
              <w:rPr>
                <w:color w:val="auto"/>
                <w:lang w:val="fi-FI"/>
              </w:rPr>
              <w:t>• yksityisyyden ja henkilötietojen suoja sekä verkko- ja tietojärjestelmien</w:t>
            </w:r>
            <w:r w:rsidR="0076645F" w:rsidRPr="00EE0786">
              <w:rPr>
                <w:color w:val="auto"/>
                <w:lang w:val="fi-FI"/>
              </w:rPr>
              <w:t xml:space="preserve"> turvallisuus</w:t>
            </w:r>
          </w:p>
          <w:p w14:paraId="2C4A297C" w14:textId="77777777" w:rsidR="00D90218" w:rsidRPr="00EE0786" w:rsidRDefault="00D90218" w:rsidP="0076645F">
            <w:pPr>
              <w:rPr>
                <w:color w:val="auto"/>
                <w:lang w:val="fi-FI"/>
              </w:rPr>
            </w:pPr>
          </w:p>
          <w:p w14:paraId="049AF6E7" w14:textId="77777777" w:rsidR="0076645F" w:rsidRPr="00EE0786" w:rsidRDefault="0076645F" w:rsidP="0076645F">
            <w:pPr>
              <w:rPr>
                <w:color w:val="auto"/>
                <w:lang w:val="fi-FI"/>
              </w:rPr>
            </w:pPr>
            <w:r w:rsidRPr="00EE0786">
              <w:rPr>
                <w:color w:val="auto"/>
                <w:lang w:val="fi-FI"/>
              </w:rPr>
              <w:t>Ilmoitus on mahdollista tehdä myös anonyymisti. Mahdollisia henkilötietoja</w:t>
            </w:r>
          </w:p>
          <w:p w14:paraId="47FEB563" w14:textId="77777777" w:rsidR="0076645F" w:rsidRPr="00EE0786" w:rsidRDefault="0076645F" w:rsidP="0076645F">
            <w:pPr>
              <w:rPr>
                <w:color w:val="auto"/>
                <w:lang w:val="fi-FI"/>
              </w:rPr>
            </w:pPr>
            <w:r w:rsidRPr="00EE0786">
              <w:rPr>
                <w:color w:val="auto"/>
                <w:lang w:val="fi-FI"/>
              </w:rPr>
              <w:t>käytetään ilmoitetun tapauksen tutkimisessa ja mahdollisten ilmoituksesta</w:t>
            </w:r>
          </w:p>
          <w:p w14:paraId="06C98B09" w14:textId="11817D05" w:rsidR="0076645F" w:rsidRPr="00EE0786" w:rsidRDefault="0076645F" w:rsidP="0076645F">
            <w:pPr>
              <w:rPr>
                <w:color w:val="auto"/>
                <w:lang w:val="fi-FI"/>
              </w:rPr>
            </w:pPr>
            <w:r w:rsidRPr="00EE0786">
              <w:rPr>
                <w:color w:val="auto"/>
                <w:lang w:val="fi-FI"/>
              </w:rPr>
              <w:t>seuraavien toimenpiteiden toimeenpanossa.</w:t>
            </w:r>
          </w:p>
        </w:tc>
      </w:tr>
      <w:tr w:rsidR="00652A2C" w:rsidRPr="003256DC" w14:paraId="0C4AA9EC" w14:textId="77777777" w:rsidTr="00FA3361">
        <w:tc>
          <w:tcPr>
            <w:tcW w:w="2547" w:type="dxa"/>
          </w:tcPr>
          <w:p w14:paraId="15706A51" w14:textId="5D29F6AA" w:rsidR="00652A2C" w:rsidRPr="00EE0786" w:rsidRDefault="00652A2C" w:rsidP="00FA3361">
            <w:pPr>
              <w:rPr>
                <w:color w:val="auto"/>
                <w:lang w:val="fi-FI"/>
              </w:rPr>
            </w:pPr>
            <w:r w:rsidRPr="00EE0786">
              <w:rPr>
                <w:color w:val="auto"/>
                <w:lang w:val="fi-FI"/>
              </w:rPr>
              <w:t>5. Rekisterinpitäjän tai kolmannen osapuolen oikeutetut edut</w:t>
            </w:r>
          </w:p>
        </w:tc>
        <w:tc>
          <w:tcPr>
            <w:tcW w:w="7081" w:type="dxa"/>
          </w:tcPr>
          <w:p w14:paraId="5EE7187C" w14:textId="4F9C2697" w:rsidR="00ED7C33" w:rsidRPr="00EE0786" w:rsidRDefault="00ED7C33" w:rsidP="00ED7C33">
            <w:pPr>
              <w:rPr>
                <w:color w:val="auto"/>
                <w:lang w:val="fi-FI"/>
              </w:rPr>
            </w:pPr>
            <w:r w:rsidRPr="00EE0786">
              <w:rPr>
                <w:color w:val="auto"/>
                <w:lang w:val="fi-FI"/>
              </w:rPr>
              <w:t>Rekisterinpitäjä saattaa tarvittaessa suorittaa ilmoituksissa</w:t>
            </w:r>
            <w:r w:rsidR="00D800FD" w:rsidRPr="00EE0786">
              <w:rPr>
                <w:color w:val="auto"/>
                <w:lang w:val="fi-FI"/>
              </w:rPr>
              <w:t xml:space="preserve"> </w:t>
            </w:r>
            <w:r w:rsidRPr="00EE0786">
              <w:rPr>
                <w:color w:val="auto"/>
                <w:lang w:val="fi-FI"/>
              </w:rPr>
              <w:t>saatujen henkilötietojen käsittelyä myös oikeutetun edun perusteella, mikäli</w:t>
            </w:r>
          </w:p>
          <w:p w14:paraId="14AB578E" w14:textId="62A333D9" w:rsidR="00652A2C" w:rsidRPr="00EE0786" w:rsidRDefault="00ED7C33" w:rsidP="00ED7C33">
            <w:pPr>
              <w:rPr>
                <w:color w:val="auto"/>
                <w:lang w:val="fi-FI"/>
              </w:rPr>
            </w:pPr>
            <w:r w:rsidRPr="00EE0786">
              <w:rPr>
                <w:color w:val="auto"/>
                <w:lang w:val="fi-FI"/>
              </w:rPr>
              <w:t>siihen on erityiset syyt.</w:t>
            </w:r>
          </w:p>
        </w:tc>
      </w:tr>
      <w:tr w:rsidR="00652A2C" w:rsidRPr="009D0E3F" w14:paraId="055AC3E6" w14:textId="77777777" w:rsidTr="00FA3361">
        <w:tc>
          <w:tcPr>
            <w:tcW w:w="2547" w:type="dxa"/>
          </w:tcPr>
          <w:p w14:paraId="320DAFA6" w14:textId="4EDF62A1" w:rsidR="00652A2C" w:rsidRPr="00EE0786" w:rsidRDefault="00652A2C" w:rsidP="00FA3361">
            <w:pPr>
              <w:rPr>
                <w:color w:val="auto"/>
                <w:lang w:val="fi-FI"/>
              </w:rPr>
            </w:pPr>
            <w:r w:rsidRPr="00EE0786">
              <w:rPr>
                <w:color w:val="auto"/>
                <w:lang w:val="fi-FI"/>
              </w:rPr>
              <w:lastRenderedPageBreak/>
              <w:t xml:space="preserve">6. </w:t>
            </w:r>
            <w:r w:rsidR="00B73D09" w:rsidRPr="00EE0786">
              <w:rPr>
                <w:color w:val="auto"/>
                <w:lang w:val="fi-FI"/>
              </w:rPr>
              <w:t>Rekisterin henkilötietoryhmät</w:t>
            </w:r>
          </w:p>
        </w:tc>
        <w:tc>
          <w:tcPr>
            <w:tcW w:w="7081" w:type="dxa"/>
          </w:tcPr>
          <w:p w14:paraId="0BC19481" w14:textId="77777777" w:rsidR="007A5678" w:rsidRPr="00EE0786" w:rsidRDefault="007A5678" w:rsidP="007A5678">
            <w:pPr>
              <w:rPr>
                <w:color w:val="auto"/>
                <w:lang w:val="fi-FI"/>
              </w:rPr>
            </w:pPr>
            <w:r w:rsidRPr="00EE0786">
              <w:rPr>
                <w:color w:val="auto"/>
                <w:lang w:val="fi-FI"/>
              </w:rPr>
              <w:t>Rekisteriin voidaan tallentaa seuraavia henkilötietoja:</w:t>
            </w:r>
          </w:p>
          <w:p w14:paraId="1C6ADE2D" w14:textId="77777777" w:rsidR="007A5678" w:rsidRPr="00EE0786" w:rsidRDefault="007A5678" w:rsidP="007A5678">
            <w:pPr>
              <w:ind w:left="1304"/>
              <w:rPr>
                <w:color w:val="auto"/>
                <w:lang w:val="fi-FI"/>
              </w:rPr>
            </w:pPr>
            <w:r w:rsidRPr="00EE0786">
              <w:rPr>
                <w:color w:val="auto"/>
                <w:lang w:val="fi-FI"/>
              </w:rPr>
              <w:t>• ilmoittajan nimi ja yhteystiedot, mikäli ilmoittaja on ne antanut</w:t>
            </w:r>
          </w:p>
          <w:p w14:paraId="2BEAAA29" w14:textId="1C32C6A1" w:rsidR="007A5678" w:rsidRPr="00EE0786" w:rsidRDefault="007A5678" w:rsidP="007A5678">
            <w:pPr>
              <w:ind w:left="1304"/>
              <w:rPr>
                <w:color w:val="auto"/>
                <w:lang w:val="fi-FI"/>
              </w:rPr>
            </w:pPr>
            <w:r w:rsidRPr="00EE0786">
              <w:rPr>
                <w:color w:val="auto"/>
                <w:lang w:val="fi-FI"/>
              </w:rPr>
              <w:t>• ilmoituksen kohdetta koskevat yksilöintitiedot siten kuin ne on ilmoituksessa annettu</w:t>
            </w:r>
          </w:p>
          <w:p w14:paraId="5218329E" w14:textId="19AD942D" w:rsidR="00652A2C" w:rsidRPr="00EE0786" w:rsidRDefault="007A5678" w:rsidP="007A5678">
            <w:pPr>
              <w:ind w:left="1304"/>
              <w:rPr>
                <w:color w:val="auto"/>
                <w:lang w:val="fi-FI"/>
              </w:rPr>
            </w:pPr>
            <w:r w:rsidRPr="00EE0786">
              <w:rPr>
                <w:color w:val="auto"/>
                <w:lang w:val="fi-FI"/>
              </w:rPr>
              <w:t>• ilmoituksessa esiin tulleet tiedot epäillystä ilmoituksen kohdehenkilöstä ja tämän väärinkäytöksestä tai epäasiallisesta toiminnasta</w:t>
            </w:r>
          </w:p>
        </w:tc>
      </w:tr>
      <w:tr w:rsidR="00B73D09" w:rsidRPr="003256DC" w14:paraId="3AFEBEFC" w14:textId="77777777" w:rsidTr="00FA3361">
        <w:tc>
          <w:tcPr>
            <w:tcW w:w="2547" w:type="dxa"/>
          </w:tcPr>
          <w:p w14:paraId="3DB3FDA9" w14:textId="18158470" w:rsidR="00B73D09" w:rsidRPr="00EE0786" w:rsidRDefault="00B73D09" w:rsidP="00FA3361">
            <w:pPr>
              <w:rPr>
                <w:color w:val="auto"/>
                <w:lang w:val="fi-FI"/>
              </w:rPr>
            </w:pPr>
            <w:r w:rsidRPr="00EE0786">
              <w:rPr>
                <w:color w:val="auto"/>
                <w:lang w:val="fi-FI"/>
              </w:rPr>
              <w:t>7. Henkilötietojen säännönmukaiset tietolähteet</w:t>
            </w:r>
          </w:p>
        </w:tc>
        <w:tc>
          <w:tcPr>
            <w:tcW w:w="7081" w:type="dxa"/>
          </w:tcPr>
          <w:p w14:paraId="653EF305" w14:textId="509CA9C7" w:rsidR="0040394C" w:rsidRPr="00EE0786" w:rsidRDefault="0040394C" w:rsidP="0040394C">
            <w:pPr>
              <w:rPr>
                <w:color w:val="auto"/>
                <w:lang w:val="fi-FI"/>
              </w:rPr>
            </w:pPr>
            <w:r w:rsidRPr="00EE0786">
              <w:rPr>
                <w:color w:val="auto"/>
                <w:lang w:val="fi-FI"/>
              </w:rPr>
              <w:t xml:space="preserve">Mahdolliset henkilötiedot saadaan </w:t>
            </w:r>
            <w:proofErr w:type="spellStart"/>
            <w:r w:rsidR="00C57038" w:rsidRPr="00EE0786">
              <w:rPr>
                <w:color w:val="auto"/>
                <w:lang w:val="fi-FI"/>
              </w:rPr>
              <w:t>First</w:t>
            </w:r>
            <w:proofErr w:type="spellEnd"/>
            <w:r w:rsidR="00C57038" w:rsidRPr="00EE0786">
              <w:rPr>
                <w:color w:val="auto"/>
                <w:lang w:val="fi-FI"/>
              </w:rPr>
              <w:t xml:space="preserve"> </w:t>
            </w:r>
            <w:proofErr w:type="spellStart"/>
            <w:r w:rsidR="00C57038" w:rsidRPr="00EE0786">
              <w:rPr>
                <w:color w:val="auto"/>
                <w:lang w:val="fi-FI"/>
              </w:rPr>
              <w:t>Whistle</w:t>
            </w:r>
            <w:proofErr w:type="spellEnd"/>
            <w:r w:rsidR="00C57038" w:rsidRPr="00EE0786">
              <w:rPr>
                <w:color w:val="auto"/>
                <w:lang w:val="fi-FI"/>
              </w:rPr>
              <w:t xml:space="preserve"> </w:t>
            </w:r>
            <w:r w:rsidRPr="00EE0786">
              <w:rPr>
                <w:color w:val="auto"/>
                <w:lang w:val="fi-FI"/>
              </w:rPr>
              <w:t>-kanavalle ilmoituksen</w:t>
            </w:r>
          </w:p>
          <w:p w14:paraId="3D171EA0" w14:textId="3AFDF124" w:rsidR="00B73D09" w:rsidRPr="00EE0786" w:rsidRDefault="0040394C" w:rsidP="0040394C">
            <w:pPr>
              <w:rPr>
                <w:color w:val="auto"/>
                <w:lang w:val="fi-FI"/>
              </w:rPr>
            </w:pPr>
            <w:r w:rsidRPr="00EE0786">
              <w:rPr>
                <w:color w:val="auto"/>
                <w:lang w:val="fi-FI"/>
              </w:rPr>
              <w:t>tekevältä henkilöltä ilmoituksen yhteydessä.</w:t>
            </w:r>
          </w:p>
        </w:tc>
      </w:tr>
      <w:tr w:rsidR="00B73D09" w:rsidRPr="009D0E3F" w14:paraId="1B650568" w14:textId="77777777" w:rsidTr="00FA3361">
        <w:tc>
          <w:tcPr>
            <w:tcW w:w="2547" w:type="dxa"/>
          </w:tcPr>
          <w:p w14:paraId="35FDD303" w14:textId="5A91F0EA" w:rsidR="00B73D09" w:rsidRPr="00EE0786" w:rsidRDefault="00B73D09" w:rsidP="00FA3361">
            <w:pPr>
              <w:rPr>
                <w:color w:val="auto"/>
                <w:lang w:val="fi-FI"/>
              </w:rPr>
            </w:pPr>
            <w:r w:rsidRPr="00EE0786">
              <w:rPr>
                <w:color w:val="auto"/>
                <w:lang w:val="fi-FI"/>
              </w:rPr>
              <w:t xml:space="preserve">8. </w:t>
            </w:r>
            <w:r w:rsidR="003F3765" w:rsidRPr="00EE0786">
              <w:rPr>
                <w:color w:val="auto"/>
                <w:lang w:val="fi-FI"/>
              </w:rPr>
              <w:t>Henkilötietojen antaminen</w:t>
            </w:r>
          </w:p>
        </w:tc>
        <w:tc>
          <w:tcPr>
            <w:tcW w:w="7081" w:type="dxa"/>
          </w:tcPr>
          <w:p w14:paraId="2B62AEE1" w14:textId="77777777" w:rsidR="00D944F8" w:rsidRPr="00EE0786" w:rsidRDefault="00D944F8" w:rsidP="00D944F8">
            <w:pPr>
              <w:rPr>
                <w:color w:val="auto"/>
                <w:lang w:val="fi-FI"/>
              </w:rPr>
            </w:pPr>
            <w:r w:rsidRPr="00EE0786">
              <w:rPr>
                <w:color w:val="auto"/>
                <w:lang w:val="fi-FI"/>
              </w:rPr>
              <w:t>Henkilötietojen antaminen ei ole välttämätöntä ilmoituksen laatimiseksi.</w:t>
            </w:r>
          </w:p>
          <w:p w14:paraId="6594E012" w14:textId="42359688" w:rsidR="00B73D09" w:rsidRPr="00EE0786" w:rsidRDefault="00C57038" w:rsidP="00D944F8">
            <w:pPr>
              <w:rPr>
                <w:color w:val="auto"/>
                <w:lang w:val="fi-FI"/>
              </w:rPr>
            </w:pPr>
            <w:proofErr w:type="spellStart"/>
            <w:r w:rsidRPr="00EE0786">
              <w:rPr>
                <w:color w:val="auto"/>
                <w:lang w:val="fi-FI"/>
              </w:rPr>
              <w:t>First</w:t>
            </w:r>
            <w:proofErr w:type="spellEnd"/>
            <w:r w:rsidRPr="00EE0786">
              <w:rPr>
                <w:color w:val="auto"/>
                <w:lang w:val="fi-FI"/>
              </w:rPr>
              <w:t xml:space="preserve"> </w:t>
            </w:r>
            <w:proofErr w:type="spellStart"/>
            <w:r w:rsidRPr="00EE0786">
              <w:rPr>
                <w:color w:val="auto"/>
                <w:lang w:val="fi-FI"/>
              </w:rPr>
              <w:t>Whistle</w:t>
            </w:r>
            <w:proofErr w:type="spellEnd"/>
            <w:r w:rsidRPr="00EE0786">
              <w:rPr>
                <w:color w:val="auto"/>
                <w:lang w:val="fi-FI"/>
              </w:rPr>
              <w:t xml:space="preserve"> </w:t>
            </w:r>
            <w:r w:rsidR="00D944F8" w:rsidRPr="00EE0786">
              <w:rPr>
                <w:color w:val="auto"/>
                <w:lang w:val="fi-FI"/>
              </w:rPr>
              <w:t>-kanavalle voi tehdä myös anonyymin ilmoituksen.</w:t>
            </w:r>
          </w:p>
        </w:tc>
      </w:tr>
      <w:tr w:rsidR="00B73D09" w:rsidRPr="003256DC" w14:paraId="17C1114D" w14:textId="77777777" w:rsidTr="00FA3361">
        <w:tc>
          <w:tcPr>
            <w:tcW w:w="2547" w:type="dxa"/>
          </w:tcPr>
          <w:p w14:paraId="65554537" w14:textId="0B472524" w:rsidR="00B73D09" w:rsidRPr="00EE0786" w:rsidRDefault="003F3765" w:rsidP="00FA3361">
            <w:pPr>
              <w:rPr>
                <w:color w:val="auto"/>
                <w:lang w:val="fi-FI"/>
              </w:rPr>
            </w:pPr>
            <w:r w:rsidRPr="00EE0786">
              <w:rPr>
                <w:color w:val="auto"/>
                <w:lang w:val="fi-FI"/>
              </w:rPr>
              <w:t>9. Henkilötietojen vastaanottajat ja säännönmukaiset luovutukset</w:t>
            </w:r>
          </w:p>
        </w:tc>
        <w:tc>
          <w:tcPr>
            <w:tcW w:w="7081" w:type="dxa"/>
          </w:tcPr>
          <w:p w14:paraId="0E1923A3" w14:textId="50DAEC78" w:rsidR="00D944F8" w:rsidRPr="00EE0786" w:rsidRDefault="00D944F8" w:rsidP="00D944F8">
            <w:pPr>
              <w:rPr>
                <w:color w:val="auto"/>
                <w:lang w:val="fi-FI"/>
              </w:rPr>
            </w:pPr>
            <w:r w:rsidRPr="00EE0786">
              <w:rPr>
                <w:color w:val="auto"/>
                <w:lang w:val="fi-FI"/>
              </w:rPr>
              <w:t xml:space="preserve">Ilmoituksia käsittelevät Neomore Consulting Oy:n työntekijät, jotka on nimetty ilmoitusten käsittelijöiksi. </w:t>
            </w:r>
            <w:proofErr w:type="spellStart"/>
            <w:r w:rsidR="00C57038" w:rsidRPr="00EE0786">
              <w:rPr>
                <w:color w:val="auto"/>
                <w:lang w:val="fi-FI"/>
              </w:rPr>
              <w:t>First</w:t>
            </w:r>
            <w:proofErr w:type="spellEnd"/>
            <w:r w:rsidR="00C57038" w:rsidRPr="00EE0786">
              <w:rPr>
                <w:color w:val="auto"/>
                <w:lang w:val="fi-FI"/>
              </w:rPr>
              <w:t xml:space="preserve"> </w:t>
            </w:r>
            <w:proofErr w:type="spellStart"/>
            <w:r w:rsidR="00C57038" w:rsidRPr="00EE0786">
              <w:rPr>
                <w:color w:val="auto"/>
                <w:lang w:val="fi-FI"/>
              </w:rPr>
              <w:t>Whistle</w:t>
            </w:r>
            <w:proofErr w:type="spellEnd"/>
            <w:r w:rsidR="00C57038" w:rsidRPr="00EE0786">
              <w:rPr>
                <w:color w:val="auto"/>
                <w:lang w:val="fi-FI"/>
              </w:rPr>
              <w:t xml:space="preserve"> </w:t>
            </w:r>
            <w:r w:rsidRPr="00EE0786">
              <w:rPr>
                <w:color w:val="auto"/>
                <w:lang w:val="fi-FI"/>
              </w:rPr>
              <w:t>-kanavan</w:t>
            </w:r>
            <w:r w:rsidR="004C474E" w:rsidRPr="00EE0786">
              <w:rPr>
                <w:color w:val="auto"/>
                <w:lang w:val="fi-FI"/>
              </w:rPr>
              <w:t xml:space="preserve"> </w:t>
            </w:r>
            <w:r w:rsidRPr="00EE0786">
              <w:rPr>
                <w:color w:val="auto"/>
                <w:lang w:val="fi-FI"/>
              </w:rPr>
              <w:t>palveluntuottaja on sitoutunut käsittelemään henkilötietoja</w:t>
            </w:r>
            <w:r w:rsidR="004C474E" w:rsidRPr="00EE0786">
              <w:rPr>
                <w:color w:val="auto"/>
                <w:lang w:val="fi-FI"/>
              </w:rPr>
              <w:t xml:space="preserve"> </w:t>
            </w:r>
            <w:r w:rsidRPr="00EE0786">
              <w:rPr>
                <w:color w:val="auto"/>
                <w:lang w:val="fi-FI"/>
              </w:rPr>
              <w:t>tietosuojasäännösten mukaisesti.</w:t>
            </w:r>
          </w:p>
          <w:p w14:paraId="03474F29" w14:textId="77777777" w:rsidR="004C474E" w:rsidRPr="00EE0786" w:rsidRDefault="004C474E" w:rsidP="00D944F8">
            <w:pPr>
              <w:rPr>
                <w:color w:val="auto"/>
                <w:lang w:val="fi-FI"/>
              </w:rPr>
            </w:pPr>
          </w:p>
          <w:p w14:paraId="7578CA33" w14:textId="77777777" w:rsidR="00D944F8" w:rsidRPr="00EE0786" w:rsidRDefault="00D944F8" w:rsidP="00D944F8">
            <w:pPr>
              <w:rPr>
                <w:color w:val="auto"/>
                <w:lang w:val="fi-FI"/>
              </w:rPr>
            </w:pPr>
            <w:r w:rsidRPr="00EE0786">
              <w:rPr>
                <w:color w:val="auto"/>
                <w:lang w:val="fi-FI"/>
              </w:rPr>
              <w:t>Henkilötietoja voidaan luovuttaa kolmansille osapuolille, esimerkiksi</w:t>
            </w:r>
          </w:p>
          <w:p w14:paraId="35F20A41" w14:textId="77777777" w:rsidR="00D944F8" w:rsidRPr="00EE0786" w:rsidRDefault="00D944F8" w:rsidP="00D944F8">
            <w:pPr>
              <w:rPr>
                <w:color w:val="auto"/>
                <w:lang w:val="fi-FI"/>
              </w:rPr>
            </w:pPr>
            <w:r w:rsidRPr="00EE0786">
              <w:rPr>
                <w:color w:val="auto"/>
                <w:lang w:val="fi-FI"/>
              </w:rPr>
              <w:t>viranomaisille tai ulkopuolisille tarkastajille, kun se on välttämätöntä</w:t>
            </w:r>
          </w:p>
          <w:p w14:paraId="134D4E49" w14:textId="21801FAE" w:rsidR="00B73D09" w:rsidRPr="00EE0786" w:rsidRDefault="00D944F8" w:rsidP="00D944F8">
            <w:pPr>
              <w:rPr>
                <w:color w:val="auto"/>
                <w:lang w:val="fi-FI"/>
              </w:rPr>
            </w:pPr>
            <w:r w:rsidRPr="00EE0786">
              <w:rPr>
                <w:color w:val="auto"/>
                <w:lang w:val="fi-FI"/>
              </w:rPr>
              <w:t>esimerkiksi lainsäädännön mukaan.</w:t>
            </w:r>
          </w:p>
        </w:tc>
      </w:tr>
      <w:tr w:rsidR="003F3765" w:rsidRPr="009D0E3F" w14:paraId="5803F5FA" w14:textId="77777777" w:rsidTr="00FA3361">
        <w:tc>
          <w:tcPr>
            <w:tcW w:w="2547" w:type="dxa"/>
          </w:tcPr>
          <w:p w14:paraId="0FEFCA4F" w14:textId="193CB1B6" w:rsidR="003F3765" w:rsidRPr="00EE0786" w:rsidRDefault="003F3765" w:rsidP="00FA3361">
            <w:pPr>
              <w:rPr>
                <w:color w:val="auto"/>
                <w:lang w:val="fi-FI"/>
              </w:rPr>
            </w:pPr>
            <w:r w:rsidRPr="00EE0786">
              <w:rPr>
                <w:color w:val="auto"/>
                <w:lang w:val="fi-FI"/>
              </w:rPr>
              <w:t>10. Tietojen siirto EU- tai ETA-alueen ulkopuolelle</w:t>
            </w:r>
          </w:p>
        </w:tc>
        <w:tc>
          <w:tcPr>
            <w:tcW w:w="7081" w:type="dxa"/>
          </w:tcPr>
          <w:p w14:paraId="7D30E667" w14:textId="03E02417" w:rsidR="003F3765" w:rsidRPr="00EE0786" w:rsidRDefault="00CE3229" w:rsidP="00FA3361">
            <w:pPr>
              <w:rPr>
                <w:color w:val="auto"/>
                <w:lang w:val="fi-FI"/>
              </w:rPr>
            </w:pPr>
            <w:r w:rsidRPr="00EE0786">
              <w:rPr>
                <w:color w:val="auto"/>
                <w:lang w:val="fi-FI"/>
              </w:rPr>
              <w:t>Tietoja ei siirretä EU- tai ETA-alueen ulkopuolelle.</w:t>
            </w:r>
          </w:p>
        </w:tc>
      </w:tr>
      <w:tr w:rsidR="003F3765" w:rsidRPr="009D0E3F" w14:paraId="3642B41E" w14:textId="77777777" w:rsidTr="00FA3361">
        <w:tc>
          <w:tcPr>
            <w:tcW w:w="2547" w:type="dxa"/>
          </w:tcPr>
          <w:p w14:paraId="4850DCEA" w14:textId="0454A5DD" w:rsidR="003F3765" w:rsidRPr="00EE0786" w:rsidRDefault="003F3765" w:rsidP="00FA3361">
            <w:pPr>
              <w:rPr>
                <w:color w:val="auto"/>
                <w:lang w:val="fi-FI"/>
              </w:rPr>
            </w:pPr>
            <w:r w:rsidRPr="00EE0786">
              <w:rPr>
                <w:color w:val="auto"/>
                <w:lang w:val="fi-FI"/>
              </w:rPr>
              <w:t>11.</w:t>
            </w:r>
            <w:r w:rsidR="001A7100" w:rsidRPr="00EE0786">
              <w:rPr>
                <w:color w:val="auto"/>
                <w:lang w:val="fi-FI"/>
              </w:rPr>
              <w:t xml:space="preserve"> Automaattinen päätöksenteko ja profilointi</w:t>
            </w:r>
          </w:p>
        </w:tc>
        <w:tc>
          <w:tcPr>
            <w:tcW w:w="7081" w:type="dxa"/>
          </w:tcPr>
          <w:p w14:paraId="6137D712" w14:textId="004C771F" w:rsidR="003F3765" w:rsidRPr="00EE0786" w:rsidRDefault="00CE3229" w:rsidP="00CE3229">
            <w:pPr>
              <w:rPr>
                <w:color w:val="auto"/>
                <w:lang w:val="fi-FI"/>
              </w:rPr>
            </w:pPr>
            <w:r w:rsidRPr="00EE0786">
              <w:rPr>
                <w:color w:val="auto"/>
                <w:lang w:val="fi-FI"/>
              </w:rPr>
              <w:t>Rekisterinpitäjä ei tee automaattiseen päätöksentekoon perustuvia päätöksiä</w:t>
            </w:r>
            <w:r w:rsidR="00C57038" w:rsidRPr="00EE0786">
              <w:rPr>
                <w:color w:val="auto"/>
                <w:lang w:val="fi-FI"/>
              </w:rPr>
              <w:t xml:space="preserve"> </w:t>
            </w:r>
            <w:r w:rsidRPr="00EE0786">
              <w:rPr>
                <w:color w:val="auto"/>
                <w:lang w:val="fi-FI"/>
              </w:rPr>
              <w:t>eikä profilointia käsittelemiensä henkilötietojen perusteella.</w:t>
            </w:r>
          </w:p>
        </w:tc>
      </w:tr>
      <w:tr w:rsidR="003F3765" w:rsidRPr="003256DC" w14:paraId="04D293E7" w14:textId="77777777" w:rsidTr="00FA3361">
        <w:tc>
          <w:tcPr>
            <w:tcW w:w="2547" w:type="dxa"/>
          </w:tcPr>
          <w:p w14:paraId="29DE8AF7" w14:textId="52758117" w:rsidR="003F3765" w:rsidRPr="00EE0786" w:rsidRDefault="003F3765" w:rsidP="00FA3361">
            <w:pPr>
              <w:rPr>
                <w:color w:val="auto"/>
                <w:lang w:val="fi-FI"/>
              </w:rPr>
            </w:pPr>
            <w:r w:rsidRPr="00EE0786">
              <w:rPr>
                <w:color w:val="auto"/>
                <w:lang w:val="fi-FI"/>
              </w:rPr>
              <w:t>12.</w:t>
            </w:r>
            <w:r w:rsidR="001A7100" w:rsidRPr="00EE0786">
              <w:rPr>
                <w:color w:val="auto"/>
                <w:lang w:val="fi-FI"/>
              </w:rPr>
              <w:t xml:space="preserve"> Rekisterin suojauksen periaatteet</w:t>
            </w:r>
          </w:p>
        </w:tc>
        <w:tc>
          <w:tcPr>
            <w:tcW w:w="7081" w:type="dxa"/>
          </w:tcPr>
          <w:p w14:paraId="0353FD8B" w14:textId="77777777" w:rsidR="005C2A6E" w:rsidRPr="00EE0786" w:rsidRDefault="005C2A6E" w:rsidP="005C2A6E">
            <w:pPr>
              <w:rPr>
                <w:color w:val="auto"/>
                <w:lang w:val="fi-FI"/>
              </w:rPr>
            </w:pPr>
            <w:r w:rsidRPr="00EE0786">
              <w:rPr>
                <w:color w:val="auto"/>
                <w:lang w:val="fi-FI"/>
              </w:rPr>
              <w:t>Henkilötietoja käsitteleviä henkilöitä sitoo vaitiolovelvollisuus. Salassa</w:t>
            </w:r>
          </w:p>
          <w:p w14:paraId="48326C1A" w14:textId="77777777" w:rsidR="005C2A6E" w:rsidRPr="00EE0786" w:rsidRDefault="005C2A6E" w:rsidP="005C2A6E">
            <w:pPr>
              <w:rPr>
                <w:color w:val="auto"/>
                <w:lang w:val="fi-FI"/>
              </w:rPr>
            </w:pPr>
            <w:r w:rsidRPr="00EE0786">
              <w:rPr>
                <w:color w:val="auto"/>
                <w:lang w:val="fi-FI"/>
              </w:rPr>
              <w:t>pidettävien ja tietosuoja-asetuksessa mainittujen erityisten henkilötietoryhmien suojaamiseen kiinnitetään erityistä huomiota.</w:t>
            </w:r>
          </w:p>
          <w:p w14:paraId="5169FA89" w14:textId="77777777" w:rsidR="005C2A6E" w:rsidRPr="00EE0786" w:rsidRDefault="005C2A6E" w:rsidP="005C2A6E">
            <w:pPr>
              <w:rPr>
                <w:color w:val="auto"/>
                <w:lang w:val="fi-FI"/>
              </w:rPr>
            </w:pPr>
            <w:r w:rsidRPr="00EE0786">
              <w:rPr>
                <w:color w:val="auto"/>
                <w:lang w:val="fi-FI"/>
              </w:rPr>
              <w:t>Henkilötiedot tallennetaan sähköiseen muotoon ja tiedot on suojattu</w:t>
            </w:r>
          </w:p>
          <w:p w14:paraId="5986009E" w14:textId="6498EE8D" w:rsidR="003F3765" w:rsidRPr="00EE0786" w:rsidRDefault="005C2A6E" w:rsidP="00AA3376">
            <w:pPr>
              <w:rPr>
                <w:color w:val="auto"/>
                <w:lang w:val="fi-FI"/>
              </w:rPr>
            </w:pPr>
            <w:r w:rsidRPr="00EE0786">
              <w:rPr>
                <w:color w:val="auto"/>
                <w:lang w:val="fi-FI"/>
              </w:rPr>
              <w:t>palomuurein ja muilla teknisillä keinoilla. Kullakin Neomore Consulting Oy:n nimetyllä käyttäjällä on oma käyttäjätunnus ja salasana</w:t>
            </w:r>
            <w:r w:rsidR="00AA3376" w:rsidRPr="00EE0786">
              <w:rPr>
                <w:color w:val="auto"/>
                <w:lang w:val="fi-FI"/>
              </w:rPr>
              <w:t xml:space="preserve"> </w:t>
            </w:r>
            <w:r w:rsidRPr="00EE0786">
              <w:rPr>
                <w:color w:val="auto"/>
                <w:lang w:val="fi-FI"/>
              </w:rPr>
              <w:t>järjestelmään. Ilmoituksia käsittelevät mahdollisesti myös tietosuojavastaavat.</w:t>
            </w:r>
            <w:r w:rsidR="00AA3376" w:rsidRPr="00EE0786">
              <w:rPr>
                <w:color w:val="auto"/>
                <w:lang w:val="fi-FI"/>
              </w:rPr>
              <w:t xml:space="preserve"> </w:t>
            </w:r>
            <w:r w:rsidRPr="00EE0786">
              <w:rPr>
                <w:color w:val="auto"/>
                <w:lang w:val="fi-FI"/>
              </w:rPr>
              <w:t>Kaikki ilmoitukset käsitellään luottamuksellisesti.</w:t>
            </w:r>
          </w:p>
        </w:tc>
      </w:tr>
      <w:tr w:rsidR="001A7100" w:rsidRPr="009D0E3F" w14:paraId="66FD8DF5" w14:textId="77777777" w:rsidTr="00FA3361">
        <w:tc>
          <w:tcPr>
            <w:tcW w:w="2547" w:type="dxa"/>
          </w:tcPr>
          <w:p w14:paraId="1765B39F" w14:textId="64336646" w:rsidR="001A7100" w:rsidRPr="00EE0786" w:rsidRDefault="001A7100" w:rsidP="00FA3361">
            <w:pPr>
              <w:rPr>
                <w:color w:val="auto"/>
                <w:lang w:val="fi-FI"/>
              </w:rPr>
            </w:pPr>
            <w:r w:rsidRPr="00EE0786">
              <w:rPr>
                <w:color w:val="auto"/>
                <w:lang w:val="fi-FI"/>
              </w:rPr>
              <w:t>13. Henkilötietojen säilyttämisaika</w:t>
            </w:r>
          </w:p>
        </w:tc>
        <w:tc>
          <w:tcPr>
            <w:tcW w:w="7081" w:type="dxa"/>
          </w:tcPr>
          <w:p w14:paraId="01A2A16D" w14:textId="77777777" w:rsidR="00AA3376" w:rsidRPr="00EE0786" w:rsidRDefault="00AA3376" w:rsidP="00AA3376">
            <w:pPr>
              <w:rPr>
                <w:color w:val="auto"/>
                <w:lang w:val="fi-FI"/>
              </w:rPr>
            </w:pPr>
            <w:r w:rsidRPr="00EE0786">
              <w:rPr>
                <w:color w:val="auto"/>
                <w:lang w:val="fi-FI"/>
              </w:rPr>
              <w:t>Henkilötiedot, joilla ei ole selvästi merkitystä ilmoituksen käsittelyn kannalta</w:t>
            </w:r>
          </w:p>
          <w:p w14:paraId="33A89F8C" w14:textId="73D5AA21" w:rsidR="001A7100" w:rsidRPr="00EE0786" w:rsidRDefault="00AA3376" w:rsidP="00AA3376">
            <w:pPr>
              <w:rPr>
                <w:color w:val="auto"/>
                <w:lang w:val="fi-FI"/>
              </w:rPr>
            </w:pPr>
            <w:r w:rsidRPr="00EE0786">
              <w:rPr>
                <w:color w:val="auto"/>
                <w:lang w:val="fi-FI"/>
              </w:rPr>
              <w:t>poistetaan ilman aiheetonta viivytystä. Muutoin tiedot poistetaan viimeistään viiden vuoden kuluttua ilmoituksen saapumisesta, ellei niiden säilyttäminen ole välttämätöntä laissa säädettyjen oikeuksien tai velvoitteiden toteuttamista varten taikka oikeudellisen vaateen laatimiseksi, esittämiseksi tai puolustamiseksi.</w:t>
            </w:r>
          </w:p>
        </w:tc>
      </w:tr>
      <w:tr w:rsidR="001A7100" w:rsidRPr="009D0E3F" w14:paraId="3C44DFE2" w14:textId="77777777" w:rsidTr="00FA3361">
        <w:tc>
          <w:tcPr>
            <w:tcW w:w="2547" w:type="dxa"/>
          </w:tcPr>
          <w:p w14:paraId="376D4FBD" w14:textId="727F9750" w:rsidR="001A7100" w:rsidRPr="00EE0786" w:rsidRDefault="001A7100" w:rsidP="00FA3361">
            <w:pPr>
              <w:rPr>
                <w:color w:val="auto"/>
                <w:lang w:val="fi-FI"/>
              </w:rPr>
            </w:pPr>
            <w:r w:rsidRPr="00EE0786">
              <w:rPr>
                <w:color w:val="auto"/>
                <w:lang w:val="fi-FI"/>
              </w:rPr>
              <w:t>14.</w:t>
            </w:r>
            <w:r w:rsidR="00D732F1" w:rsidRPr="00EE0786">
              <w:rPr>
                <w:color w:val="auto"/>
                <w:lang w:val="fi-FI"/>
              </w:rPr>
              <w:t xml:space="preserve"> Rekisteröidyn oikeudet</w:t>
            </w:r>
          </w:p>
        </w:tc>
        <w:tc>
          <w:tcPr>
            <w:tcW w:w="7081" w:type="dxa"/>
          </w:tcPr>
          <w:p w14:paraId="0E9CFAE8" w14:textId="77777777" w:rsidR="003529C8" w:rsidRPr="00EE0786" w:rsidRDefault="003529C8" w:rsidP="003529C8">
            <w:pPr>
              <w:rPr>
                <w:color w:val="auto"/>
                <w:lang w:val="fi-FI"/>
              </w:rPr>
            </w:pPr>
            <w:r w:rsidRPr="00EE0786">
              <w:rPr>
                <w:color w:val="auto"/>
                <w:lang w:val="fi-FI"/>
              </w:rPr>
              <w:t>Rekisteröidyllä on oikeus</w:t>
            </w:r>
          </w:p>
          <w:p w14:paraId="375243FD" w14:textId="77777777" w:rsidR="003529C8" w:rsidRPr="00EE0786" w:rsidRDefault="003529C8" w:rsidP="003529C8">
            <w:pPr>
              <w:ind w:left="1304"/>
              <w:rPr>
                <w:color w:val="auto"/>
                <w:lang w:val="fi-FI"/>
              </w:rPr>
            </w:pPr>
            <w:r w:rsidRPr="00EE0786">
              <w:rPr>
                <w:color w:val="auto"/>
                <w:lang w:val="fi-FI"/>
              </w:rPr>
              <w:t>- saada tietoa henkilötietojensa käsittelystä</w:t>
            </w:r>
          </w:p>
          <w:p w14:paraId="6A07131B" w14:textId="77777777" w:rsidR="003529C8" w:rsidRPr="00EE0786" w:rsidRDefault="003529C8" w:rsidP="003529C8">
            <w:pPr>
              <w:ind w:left="1304"/>
              <w:rPr>
                <w:color w:val="auto"/>
                <w:lang w:val="fi-FI"/>
              </w:rPr>
            </w:pPr>
            <w:r w:rsidRPr="00EE0786">
              <w:rPr>
                <w:color w:val="auto"/>
                <w:lang w:val="fi-FI"/>
              </w:rPr>
              <w:t>- saada pääsy tietoihin</w:t>
            </w:r>
          </w:p>
          <w:p w14:paraId="2C74D69D" w14:textId="77777777" w:rsidR="003529C8" w:rsidRPr="00EE0786" w:rsidRDefault="003529C8" w:rsidP="003529C8">
            <w:pPr>
              <w:ind w:left="1304"/>
              <w:rPr>
                <w:color w:val="auto"/>
                <w:lang w:val="fi-FI"/>
              </w:rPr>
            </w:pPr>
            <w:r w:rsidRPr="00EE0786">
              <w:rPr>
                <w:color w:val="auto"/>
                <w:lang w:val="fi-FI"/>
              </w:rPr>
              <w:t>- oikaista tietoja</w:t>
            </w:r>
          </w:p>
          <w:p w14:paraId="195A1CC7" w14:textId="77777777" w:rsidR="003529C8" w:rsidRPr="00EE0786" w:rsidRDefault="003529C8" w:rsidP="003529C8">
            <w:pPr>
              <w:ind w:left="1304"/>
              <w:rPr>
                <w:color w:val="auto"/>
                <w:lang w:val="fi-FI"/>
              </w:rPr>
            </w:pPr>
            <w:r w:rsidRPr="00EE0786">
              <w:rPr>
                <w:color w:val="auto"/>
                <w:lang w:val="fi-FI"/>
              </w:rPr>
              <w:t>- poistaa tiedot ja tulla unohdetuksi</w:t>
            </w:r>
          </w:p>
          <w:p w14:paraId="310ECCAB" w14:textId="77777777" w:rsidR="003529C8" w:rsidRPr="00EE0786" w:rsidRDefault="003529C8" w:rsidP="003529C8">
            <w:pPr>
              <w:ind w:left="1304"/>
              <w:rPr>
                <w:color w:val="auto"/>
                <w:lang w:val="fi-FI"/>
              </w:rPr>
            </w:pPr>
            <w:r w:rsidRPr="00EE0786">
              <w:rPr>
                <w:color w:val="auto"/>
                <w:lang w:val="fi-FI"/>
              </w:rPr>
              <w:t>- siirtää tiedot järjestelmästä toiseen</w:t>
            </w:r>
          </w:p>
          <w:p w14:paraId="1FCE95D0" w14:textId="77777777" w:rsidR="003529C8" w:rsidRPr="00EE0786" w:rsidRDefault="003529C8" w:rsidP="003529C8">
            <w:pPr>
              <w:ind w:left="1304"/>
              <w:rPr>
                <w:color w:val="auto"/>
                <w:lang w:val="fi-FI"/>
              </w:rPr>
            </w:pPr>
            <w:r w:rsidRPr="00EE0786">
              <w:rPr>
                <w:color w:val="auto"/>
                <w:lang w:val="fi-FI"/>
              </w:rPr>
              <w:t>- vastustaa tietojen käsittelyä</w:t>
            </w:r>
          </w:p>
          <w:p w14:paraId="5356104C" w14:textId="77777777" w:rsidR="003529C8" w:rsidRPr="00EE0786" w:rsidRDefault="003529C8" w:rsidP="003529C8">
            <w:pPr>
              <w:ind w:left="1304"/>
              <w:rPr>
                <w:color w:val="auto"/>
                <w:lang w:val="fi-FI"/>
              </w:rPr>
            </w:pPr>
            <w:r w:rsidRPr="00EE0786">
              <w:rPr>
                <w:color w:val="auto"/>
                <w:lang w:val="fi-FI"/>
              </w:rPr>
              <w:t>- olla joutumatta automaattisen päätöksenteon kohteeksi</w:t>
            </w:r>
          </w:p>
          <w:p w14:paraId="33D2AC0B" w14:textId="77777777" w:rsidR="003529C8" w:rsidRPr="00EE0786" w:rsidRDefault="003529C8" w:rsidP="003529C8">
            <w:pPr>
              <w:rPr>
                <w:color w:val="auto"/>
                <w:lang w:val="fi-FI"/>
              </w:rPr>
            </w:pPr>
          </w:p>
          <w:p w14:paraId="27BC153E" w14:textId="2CD2F375" w:rsidR="003529C8" w:rsidRPr="00EE0786" w:rsidRDefault="003529C8" w:rsidP="003529C8">
            <w:pPr>
              <w:rPr>
                <w:color w:val="auto"/>
                <w:lang w:val="fi-FI"/>
              </w:rPr>
            </w:pPr>
            <w:r w:rsidRPr="00EE0786">
              <w:rPr>
                <w:color w:val="auto"/>
                <w:lang w:val="fi-FI"/>
              </w:rPr>
              <w:t>Rekisteröity ei voi käyttää kaikkia oikeuksia kaikissa tilanteissa. Tilanteeseen</w:t>
            </w:r>
          </w:p>
          <w:p w14:paraId="7587B8FF" w14:textId="77777777" w:rsidR="003529C8" w:rsidRPr="00EE0786" w:rsidRDefault="003529C8" w:rsidP="003529C8">
            <w:pPr>
              <w:rPr>
                <w:color w:val="auto"/>
                <w:lang w:val="fi-FI"/>
              </w:rPr>
            </w:pPr>
            <w:r w:rsidRPr="00EE0786">
              <w:rPr>
                <w:color w:val="auto"/>
                <w:lang w:val="fi-FI"/>
              </w:rPr>
              <w:t>vaikuttaa esimerkiksi se, millä perusteella henkilötietoja käsitellään.</w:t>
            </w:r>
          </w:p>
          <w:p w14:paraId="72D107CB" w14:textId="77777777" w:rsidR="003529C8" w:rsidRPr="00EE0786" w:rsidRDefault="003529C8" w:rsidP="003529C8">
            <w:pPr>
              <w:rPr>
                <w:color w:val="auto"/>
                <w:lang w:val="fi-FI"/>
              </w:rPr>
            </w:pPr>
            <w:r w:rsidRPr="00EE0786">
              <w:rPr>
                <w:color w:val="auto"/>
                <w:lang w:val="fi-FI"/>
              </w:rPr>
              <w:lastRenderedPageBreak/>
              <w:t>Rekisteröidyn oikeutta tutustua tietoihin voidaan rajoittaa, jos se on</w:t>
            </w:r>
          </w:p>
          <w:p w14:paraId="5824EC02" w14:textId="77777777" w:rsidR="003529C8" w:rsidRPr="00EE0786" w:rsidRDefault="003529C8" w:rsidP="003529C8">
            <w:pPr>
              <w:rPr>
                <w:color w:val="auto"/>
                <w:lang w:val="fi-FI"/>
              </w:rPr>
            </w:pPr>
            <w:r w:rsidRPr="00EE0786">
              <w:rPr>
                <w:color w:val="auto"/>
                <w:lang w:val="fi-FI"/>
              </w:rPr>
              <w:t>välttämätöntä ja oikeasuhtaista ilmoituksen paikkansa pitävyyden</w:t>
            </w:r>
          </w:p>
          <w:p w14:paraId="7798CEDD" w14:textId="5730B1DF" w:rsidR="003529C8" w:rsidRPr="00EE0786" w:rsidRDefault="003529C8" w:rsidP="00F271B3">
            <w:pPr>
              <w:rPr>
                <w:color w:val="auto"/>
                <w:lang w:val="fi-FI"/>
              </w:rPr>
            </w:pPr>
            <w:r w:rsidRPr="00EE0786">
              <w:rPr>
                <w:color w:val="auto"/>
                <w:lang w:val="fi-FI"/>
              </w:rPr>
              <w:t>selvittämisen turvaamiseksi tai ilmoittajan henkilöllisyyden suojaamiseksi.</w:t>
            </w:r>
          </w:p>
        </w:tc>
      </w:tr>
      <w:tr w:rsidR="00D732F1" w:rsidRPr="003256DC" w14:paraId="1BF2698B" w14:textId="77777777" w:rsidTr="00FA3361">
        <w:tc>
          <w:tcPr>
            <w:tcW w:w="2547" w:type="dxa"/>
          </w:tcPr>
          <w:p w14:paraId="76F7F2A6" w14:textId="0A29C30A" w:rsidR="00D732F1" w:rsidRPr="00EE0786" w:rsidRDefault="00D732F1" w:rsidP="00FA3361">
            <w:pPr>
              <w:rPr>
                <w:color w:val="auto"/>
                <w:lang w:val="fi-FI"/>
              </w:rPr>
            </w:pPr>
            <w:r w:rsidRPr="00EE0786">
              <w:rPr>
                <w:color w:val="auto"/>
                <w:lang w:val="fi-FI"/>
              </w:rPr>
              <w:lastRenderedPageBreak/>
              <w:t>15. Oikeus tehdä valitus valvontaviranomaiselle</w:t>
            </w:r>
          </w:p>
        </w:tc>
        <w:tc>
          <w:tcPr>
            <w:tcW w:w="7081" w:type="dxa"/>
          </w:tcPr>
          <w:p w14:paraId="2504380F" w14:textId="77777777" w:rsidR="00D67F76" w:rsidRPr="00EE0786" w:rsidRDefault="00D67F76" w:rsidP="00D67F76">
            <w:pPr>
              <w:rPr>
                <w:color w:val="auto"/>
                <w:lang w:val="fi-FI"/>
              </w:rPr>
            </w:pPr>
            <w:r w:rsidRPr="00EE0786">
              <w:rPr>
                <w:color w:val="auto"/>
                <w:lang w:val="fi-FI"/>
              </w:rPr>
              <w:t>Rekisteröidyllä on oikeus tehdä ilmoitus, jos epäilee, että organisaatio</w:t>
            </w:r>
          </w:p>
          <w:p w14:paraId="2DE75784" w14:textId="77777777" w:rsidR="00D67F76" w:rsidRPr="00EE0786" w:rsidRDefault="00D67F76" w:rsidP="00D67F76">
            <w:pPr>
              <w:rPr>
                <w:color w:val="auto"/>
                <w:lang w:val="fi-FI"/>
              </w:rPr>
            </w:pPr>
            <w:r w:rsidRPr="00EE0786">
              <w:rPr>
                <w:color w:val="auto"/>
                <w:lang w:val="fi-FI"/>
              </w:rPr>
              <w:t>käsittelee henkilötietoja tietosuojasäännösten vastaisesti.</w:t>
            </w:r>
          </w:p>
          <w:p w14:paraId="1F15220C" w14:textId="77777777" w:rsidR="00D67F76" w:rsidRPr="00EE0786" w:rsidRDefault="00D67F76" w:rsidP="00D67F76">
            <w:pPr>
              <w:rPr>
                <w:color w:val="auto"/>
                <w:lang w:val="fi-FI"/>
              </w:rPr>
            </w:pPr>
            <w:r w:rsidRPr="00EE0786">
              <w:rPr>
                <w:color w:val="auto"/>
                <w:lang w:val="fi-FI"/>
              </w:rPr>
              <w:t>Tietosuojavaltuutetun toimisto</w:t>
            </w:r>
          </w:p>
          <w:p w14:paraId="08C7D797" w14:textId="77777777" w:rsidR="00D67F76" w:rsidRPr="00EE0786" w:rsidRDefault="00D67F76" w:rsidP="00D67F76">
            <w:pPr>
              <w:rPr>
                <w:color w:val="auto"/>
                <w:lang w:val="fi-FI"/>
              </w:rPr>
            </w:pPr>
            <w:r w:rsidRPr="00EE0786">
              <w:rPr>
                <w:color w:val="auto"/>
                <w:lang w:val="fi-FI"/>
              </w:rPr>
              <w:t>PL 800, 00531 Helsinki</w:t>
            </w:r>
          </w:p>
          <w:p w14:paraId="75A67C4A" w14:textId="77777777" w:rsidR="00D67F76" w:rsidRPr="00EE0786" w:rsidRDefault="00D67F76" w:rsidP="00D67F76">
            <w:pPr>
              <w:rPr>
                <w:color w:val="auto"/>
                <w:lang w:val="fi-FI"/>
              </w:rPr>
            </w:pPr>
            <w:r w:rsidRPr="00EE0786">
              <w:rPr>
                <w:color w:val="auto"/>
                <w:lang w:val="fi-FI"/>
              </w:rPr>
              <w:t>tietosuoja@om.fi</w:t>
            </w:r>
          </w:p>
          <w:p w14:paraId="0EFB2B2E" w14:textId="77777777" w:rsidR="00D67F76" w:rsidRPr="00EE0786" w:rsidRDefault="00D67F76" w:rsidP="00D67F76">
            <w:pPr>
              <w:rPr>
                <w:color w:val="auto"/>
                <w:lang w:val="fi-FI"/>
              </w:rPr>
            </w:pPr>
            <w:r w:rsidRPr="00EE0786">
              <w:rPr>
                <w:color w:val="auto"/>
                <w:lang w:val="fi-FI"/>
              </w:rPr>
              <w:t>029 566 6700 (puhelinvaihde)</w:t>
            </w:r>
          </w:p>
          <w:p w14:paraId="2124CDA8" w14:textId="54B446C5" w:rsidR="00D732F1" w:rsidRPr="00EE0786" w:rsidRDefault="00D67F76" w:rsidP="00D67F76">
            <w:pPr>
              <w:rPr>
                <w:color w:val="auto"/>
                <w:lang w:val="fi-FI"/>
              </w:rPr>
            </w:pPr>
            <w:r w:rsidRPr="00EE0786">
              <w:rPr>
                <w:color w:val="auto"/>
                <w:lang w:val="fi-FI"/>
              </w:rPr>
              <w:t>tietosuoja.fi/yhteystiedot</w:t>
            </w:r>
          </w:p>
        </w:tc>
      </w:tr>
    </w:tbl>
    <w:p w14:paraId="1E2B0C75" w14:textId="77777777" w:rsidR="00EC000C" w:rsidRPr="003256DC" w:rsidRDefault="00EC000C" w:rsidP="003256DC">
      <w:pPr>
        <w:rPr>
          <w:lang w:val="fi-FI"/>
        </w:rPr>
      </w:pPr>
    </w:p>
    <w:sectPr w:rsidR="00EC000C" w:rsidRPr="003256DC" w:rsidSect="00D74CF8">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9E3D5" w14:textId="77777777" w:rsidR="003413AA" w:rsidRDefault="003413AA" w:rsidP="00EC000C">
      <w:r>
        <w:separator/>
      </w:r>
    </w:p>
  </w:endnote>
  <w:endnote w:type="continuationSeparator" w:id="0">
    <w:p w14:paraId="7528414B" w14:textId="77777777" w:rsidR="003413AA" w:rsidRDefault="003413AA" w:rsidP="00EC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0ED1" w14:textId="77777777" w:rsidR="005F6F6E" w:rsidRDefault="005F6F6E" w:rsidP="008E670B">
    <w:pPr>
      <w:pStyle w:val="Alatunniste"/>
      <w:pBdr>
        <w:top w:val="single" w:sz="4" w:space="1" w:color="auto"/>
      </w:pBdr>
      <w:rPr>
        <w:lang w:val="en-US"/>
      </w:rPr>
    </w:pPr>
  </w:p>
  <w:p w14:paraId="1FB66343" w14:textId="77777777" w:rsidR="00621A4A" w:rsidRPr="008E670B" w:rsidRDefault="00621A4A" w:rsidP="00EC000C">
    <w:pPr>
      <w:pStyle w:val="Alatunniste"/>
      <w:rPr>
        <w:sz w:val="20"/>
        <w:szCs w:val="20"/>
        <w:lang w:val="en-US"/>
      </w:rPr>
    </w:pPr>
    <w:proofErr w:type="spellStart"/>
    <w:r w:rsidRPr="008E670B">
      <w:rPr>
        <w:sz w:val="20"/>
        <w:szCs w:val="20"/>
        <w:lang w:val="en-US"/>
      </w:rPr>
      <w:t>Neomore</w:t>
    </w:r>
    <w:proofErr w:type="spellEnd"/>
    <w:r w:rsidRPr="008E670B">
      <w:rPr>
        <w:sz w:val="20"/>
        <w:szCs w:val="20"/>
        <w:lang w:val="en-US"/>
      </w:rPr>
      <w:t xml:space="preserve"> Consulting Oy</w:t>
    </w:r>
    <w:r w:rsidR="005F6F6E" w:rsidRPr="008E670B">
      <w:rPr>
        <w:sz w:val="20"/>
        <w:szCs w:val="20"/>
        <w:lang w:val="en-US"/>
        <w14:textFill>
          <w14:solidFill>
            <w14:srgbClr w14:val="333333">
              <w14:lumMod w14:val="50000"/>
            </w14:srgbClr>
          </w14:solidFill>
        </w14:textFill>
      </w:rPr>
      <w:tab/>
    </w:r>
    <w:r w:rsidR="005F6F6E" w:rsidRPr="008E670B">
      <w:rPr>
        <w:sz w:val="20"/>
        <w:szCs w:val="20"/>
        <w:lang w:val="en-US"/>
        <w14:textFill>
          <w14:solidFill>
            <w14:srgbClr w14:val="333333">
              <w14:lumMod w14:val="50000"/>
            </w14:srgbClr>
          </w14:solidFill>
        </w14:textFill>
      </w:rPr>
      <w:tab/>
    </w:r>
    <w:r w:rsidR="005F6F6E" w:rsidRPr="008E670B">
      <w:rPr>
        <w:noProof/>
        <w:sz w:val="20"/>
        <w:szCs w:val="20"/>
        <w:lang w:val="en-US"/>
        <w14:textFill>
          <w14:solidFill>
            <w14:srgbClr w14:val="333333">
              <w14:lumMod w14:val="50000"/>
            </w14:srgbClr>
          </w14:solidFill>
        </w14:textFill>
      </w:rPr>
      <w:t xml:space="preserve"> </w:t>
    </w:r>
    <w:r w:rsidR="005F6F6E" w:rsidRPr="008E670B">
      <w:rPr>
        <w:noProof/>
        <w:sz w:val="20"/>
        <w:szCs w:val="20"/>
        <w:lang w:val="en-US"/>
      </w:rPr>
      <w:t xml:space="preserve"> </w:t>
    </w:r>
    <w:r w:rsidR="005F6F6E" w:rsidRPr="008E670B">
      <w:rPr>
        <w:noProof/>
        <w:sz w:val="20"/>
        <w:szCs w:val="20"/>
        <w:lang w:val="en-US"/>
      </w:rPr>
      <w:fldChar w:fldCharType="begin"/>
    </w:r>
    <w:r w:rsidR="005F6F6E" w:rsidRPr="008E670B">
      <w:rPr>
        <w:noProof/>
        <w:sz w:val="20"/>
        <w:szCs w:val="20"/>
        <w:lang w:val="en-US"/>
      </w:rPr>
      <w:instrText xml:space="preserve"> PAGE  \* Arabic  \* MERGEFORMAT </w:instrText>
    </w:r>
    <w:r w:rsidR="005F6F6E" w:rsidRPr="008E670B">
      <w:rPr>
        <w:noProof/>
        <w:sz w:val="20"/>
        <w:szCs w:val="20"/>
        <w:lang w:val="en-US"/>
      </w:rPr>
      <w:fldChar w:fldCharType="separate"/>
    </w:r>
    <w:r w:rsidR="000F34E6">
      <w:rPr>
        <w:noProof/>
        <w:sz w:val="20"/>
        <w:szCs w:val="20"/>
        <w:lang w:val="en-US"/>
      </w:rPr>
      <w:t>1</w:t>
    </w:r>
    <w:r w:rsidR="005F6F6E" w:rsidRPr="008E670B">
      <w:rPr>
        <w:noProof/>
        <w:sz w:val="20"/>
        <w:szCs w:val="20"/>
        <w:lang w:val="en-US"/>
      </w:rPr>
      <w:fldChar w:fldCharType="end"/>
    </w:r>
    <w:r w:rsidR="005F6F6E" w:rsidRPr="008E670B">
      <w:rPr>
        <w:noProof/>
        <w:sz w:val="20"/>
        <w:szCs w:val="20"/>
        <w:lang w:val="en-US"/>
      </w:rPr>
      <w:t xml:space="preserve"> (</w:t>
    </w:r>
    <w:r w:rsidR="005F6F6E" w:rsidRPr="008E670B">
      <w:rPr>
        <w:noProof/>
        <w:sz w:val="20"/>
        <w:szCs w:val="20"/>
        <w:lang w:val="en-US"/>
      </w:rPr>
      <w:fldChar w:fldCharType="begin"/>
    </w:r>
    <w:r w:rsidR="005F6F6E" w:rsidRPr="008E670B">
      <w:rPr>
        <w:noProof/>
        <w:sz w:val="20"/>
        <w:szCs w:val="20"/>
        <w:lang w:val="en-US"/>
      </w:rPr>
      <w:instrText xml:space="preserve"> NUMPAGES  \* Arabic  \* MERGEFORMAT </w:instrText>
    </w:r>
    <w:r w:rsidR="005F6F6E" w:rsidRPr="008E670B">
      <w:rPr>
        <w:noProof/>
        <w:sz w:val="20"/>
        <w:szCs w:val="20"/>
        <w:lang w:val="en-US"/>
      </w:rPr>
      <w:fldChar w:fldCharType="separate"/>
    </w:r>
    <w:r w:rsidR="000F34E6">
      <w:rPr>
        <w:noProof/>
        <w:sz w:val="20"/>
        <w:szCs w:val="20"/>
        <w:lang w:val="en-US"/>
      </w:rPr>
      <w:t>1</w:t>
    </w:r>
    <w:r w:rsidR="005F6F6E" w:rsidRPr="008E670B">
      <w:rPr>
        <w:noProof/>
        <w:sz w:val="20"/>
        <w:szCs w:val="20"/>
        <w:lang w:val="en-US"/>
      </w:rPr>
      <w:fldChar w:fldCharType="end"/>
    </w:r>
    <w:r w:rsidR="005F6F6E" w:rsidRPr="008E670B">
      <w:rPr>
        <w:noProof/>
        <w:sz w:val="20"/>
        <w:szCs w:val="20"/>
        <w:lang w:val="en-US"/>
      </w:rPr>
      <w:t>)</w:t>
    </w:r>
  </w:p>
  <w:p w14:paraId="330AB411" w14:textId="77777777" w:rsidR="00621A4A" w:rsidRPr="008E670B" w:rsidRDefault="005F6F6E" w:rsidP="00EC000C">
    <w:pPr>
      <w:pStyle w:val="Alatunniste"/>
      <w:rPr>
        <w:sz w:val="20"/>
        <w:szCs w:val="20"/>
      </w:rPr>
    </w:pPr>
    <w:r w:rsidRPr="008E670B">
      <w:rPr>
        <w:sz w:val="20"/>
        <w:szCs w:val="20"/>
      </w:rPr>
      <w:tab/>
    </w:r>
    <w:r w:rsidRPr="008E670B">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523F7" w14:textId="77777777" w:rsidR="003413AA" w:rsidRDefault="003413AA" w:rsidP="00EC000C">
      <w:r>
        <w:separator/>
      </w:r>
    </w:p>
  </w:footnote>
  <w:footnote w:type="continuationSeparator" w:id="0">
    <w:p w14:paraId="094B6A3E" w14:textId="77777777" w:rsidR="003413AA" w:rsidRDefault="003413AA" w:rsidP="00EC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5905" w14:textId="251ACD26" w:rsidR="00621A4A" w:rsidRPr="00B21A6A" w:rsidRDefault="00621A4A" w:rsidP="00EC000C">
    <w:pPr>
      <w:pStyle w:val="Yltunniste"/>
      <w:rPr>
        <w:lang w:val="fi-FI"/>
      </w:rPr>
    </w:pPr>
    <w:r w:rsidRPr="00B21A6A">
      <w:rPr>
        <w:noProof/>
        <w:lang w:val="fi-FI" w:eastAsia="fi-FI"/>
      </w:rPr>
      <w:drawing>
        <wp:inline distT="0" distB="0" distL="0" distR="0" wp14:anchorId="511F2077" wp14:editId="322D5C68">
          <wp:extent cx="1438659" cy="1798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more_Logo_wor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659" cy="179832"/>
                  </a:xfrm>
                  <a:prstGeom prst="rect">
                    <a:avLst/>
                  </a:prstGeom>
                </pic:spPr>
              </pic:pic>
            </a:graphicData>
          </a:graphic>
        </wp:inline>
      </w:drawing>
    </w:r>
    <w:r w:rsidR="00E22384" w:rsidRPr="00B21A6A">
      <w:rPr>
        <w:lang w:val="fi-FI"/>
      </w:rPr>
      <w:tab/>
    </w:r>
    <w:r w:rsidR="005E4934" w:rsidRPr="00B21A6A">
      <w:rPr>
        <w:lang w:val="fi-FI"/>
      </w:rPr>
      <w:t>Tietosuojaseloste</w:t>
    </w:r>
    <w:r w:rsidR="00E22384" w:rsidRPr="00B21A6A">
      <w:rPr>
        <w:lang w:val="fi-FI"/>
      </w:rPr>
      <w:tab/>
    </w:r>
    <w:r w:rsidR="00E22384" w:rsidRPr="00B21A6A">
      <w:rPr>
        <w:lang w:val="fi-FI"/>
      </w:rPr>
      <w:fldChar w:fldCharType="begin"/>
    </w:r>
    <w:r w:rsidR="00E22384" w:rsidRPr="00B21A6A">
      <w:rPr>
        <w:lang w:val="fi-FI"/>
      </w:rPr>
      <w:instrText xml:space="preserve"> TIME \@ "d.M.yyyy" </w:instrText>
    </w:r>
    <w:r w:rsidR="00E22384" w:rsidRPr="00B21A6A">
      <w:rPr>
        <w:lang w:val="fi-FI"/>
      </w:rPr>
      <w:fldChar w:fldCharType="separate"/>
    </w:r>
    <w:r w:rsidR="009D0E3F">
      <w:rPr>
        <w:noProof/>
        <w:lang w:val="fi-FI"/>
      </w:rPr>
      <w:t>10.11.2025</w:t>
    </w:r>
    <w:r w:rsidR="00E22384" w:rsidRPr="00B21A6A">
      <w:rPr>
        <w:lang w:val="fi-FI"/>
      </w:rPr>
      <w:fldChar w:fldCharType="end"/>
    </w:r>
  </w:p>
  <w:p w14:paraId="2A2CC398" w14:textId="77777777" w:rsidR="00F35690" w:rsidRPr="00B21A6A" w:rsidRDefault="00F35690" w:rsidP="00EC000C">
    <w:pPr>
      <w:pStyle w:val="Yltunniste"/>
      <w:rPr>
        <w:lang w:val="fi-FI"/>
      </w:rPr>
    </w:pPr>
  </w:p>
  <w:p w14:paraId="12585BF7" w14:textId="77777777" w:rsidR="00621A4A" w:rsidRPr="00B21A6A" w:rsidRDefault="00621A4A" w:rsidP="00EC000C">
    <w:pPr>
      <w:pStyle w:val="Yltunniste"/>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D41A1"/>
    <w:multiLevelType w:val="hybridMultilevel"/>
    <w:tmpl w:val="6018FE4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7564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54"/>
    <w:rsid w:val="000268A3"/>
    <w:rsid w:val="0003574D"/>
    <w:rsid w:val="00090377"/>
    <w:rsid w:val="00091113"/>
    <w:rsid w:val="000B0037"/>
    <w:rsid w:val="000E3EF1"/>
    <w:rsid w:val="000F34E6"/>
    <w:rsid w:val="001A7100"/>
    <w:rsid w:val="001D71F1"/>
    <w:rsid w:val="002469BF"/>
    <w:rsid w:val="00263A37"/>
    <w:rsid w:val="002710D1"/>
    <w:rsid w:val="00282021"/>
    <w:rsid w:val="002A5AE0"/>
    <w:rsid w:val="00300683"/>
    <w:rsid w:val="003122E7"/>
    <w:rsid w:val="003256DC"/>
    <w:rsid w:val="003413AA"/>
    <w:rsid w:val="00350A54"/>
    <w:rsid w:val="003529C8"/>
    <w:rsid w:val="00397590"/>
    <w:rsid w:val="003C52AE"/>
    <w:rsid w:val="003C6EA2"/>
    <w:rsid w:val="003F3765"/>
    <w:rsid w:val="0040394C"/>
    <w:rsid w:val="004456FF"/>
    <w:rsid w:val="00484534"/>
    <w:rsid w:val="004C474E"/>
    <w:rsid w:val="00504972"/>
    <w:rsid w:val="00554F43"/>
    <w:rsid w:val="005707C6"/>
    <w:rsid w:val="0057606E"/>
    <w:rsid w:val="005979CE"/>
    <w:rsid w:val="005C2A6E"/>
    <w:rsid w:val="005E4934"/>
    <w:rsid w:val="005F6F6E"/>
    <w:rsid w:val="00621A4A"/>
    <w:rsid w:val="00652A2C"/>
    <w:rsid w:val="006B3A84"/>
    <w:rsid w:val="006D35C5"/>
    <w:rsid w:val="006E7A5E"/>
    <w:rsid w:val="0076645F"/>
    <w:rsid w:val="00784CD1"/>
    <w:rsid w:val="00796A0F"/>
    <w:rsid w:val="007A5678"/>
    <w:rsid w:val="007C54D4"/>
    <w:rsid w:val="007E1A07"/>
    <w:rsid w:val="00810044"/>
    <w:rsid w:val="008C4002"/>
    <w:rsid w:val="008C552C"/>
    <w:rsid w:val="008E670B"/>
    <w:rsid w:val="009358ED"/>
    <w:rsid w:val="009A2E19"/>
    <w:rsid w:val="009B13AF"/>
    <w:rsid w:val="009C5323"/>
    <w:rsid w:val="009D0E3F"/>
    <w:rsid w:val="00A73012"/>
    <w:rsid w:val="00A75FDE"/>
    <w:rsid w:val="00A832E2"/>
    <w:rsid w:val="00AA3376"/>
    <w:rsid w:val="00AE5BC3"/>
    <w:rsid w:val="00AF4DD6"/>
    <w:rsid w:val="00AF7EBB"/>
    <w:rsid w:val="00B21A6A"/>
    <w:rsid w:val="00B347E9"/>
    <w:rsid w:val="00B733B6"/>
    <w:rsid w:val="00B73D09"/>
    <w:rsid w:val="00BB7E02"/>
    <w:rsid w:val="00BD1B64"/>
    <w:rsid w:val="00BE70FD"/>
    <w:rsid w:val="00BF7044"/>
    <w:rsid w:val="00C31DC5"/>
    <w:rsid w:val="00C57038"/>
    <w:rsid w:val="00CE3229"/>
    <w:rsid w:val="00CF7F9B"/>
    <w:rsid w:val="00D05A90"/>
    <w:rsid w:val="00D67F76"/>
    <w:rsid w:val="00D732F1"/>
    <w:rsid w:val="00D74CF8"/>
    <w:rsid w:val="00D800FD"/>
    <w:rsid w:val="00D90218"/>
    <w:rsid w:val="00D944F8"/>
    <w:rsid w:val="00E22384"/>
    <w:rsid w:val="00E36674"/>
    <w:rsid w:val="00E90466"/>
    <w:rsid w:val="00EB2D00"/>
    <w:rsid w:val="00EC000C"/>
    <w:rsid w:val="00ED7C33"/>
    <w:rsid w:val="00EE0786"/>
    <w:rsid w:val="00F271B3"/>
    <w:rsid w:val="00F35690"/>
    <w:rsid w:val="00F47E20"/>
    <w:rsid w:val="00FA3361"/>
    <w:rsid w:val="00FC0946"/>
    <w:rsid w:val="00FC456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B8C8C"/>
  <w15:docId w15:val="{6065405B-480D-4A96-9BD8-DCE797615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Body Text"/>
    <w:qFormat/>
    <w:rsid w:val="00EC000C"/>
    <w:rPr>
      <w:color w:val="333333"/>
      <w:lang w:val="en-GB"/>
    </w:rPr>
  </w:style>
  <w:style w:type="paragraph" w:styleId="Otsikko1">
    <w:name w:val="heading 1"/>
    <w:aliases w:val="1 tason otsikko"/>
    <w:basedOn w:val="Potsikko"/>
    <w:next w:val="Normaali"/>
    <w:link w:val="Otsikko1Char"/>
    <w:uiPriority w:val="9"/>
    <w:qFormat/>
    <w:rsid w:val="00EC000C"/>
    <w:pPr>
      <w:keepNext/>
      <w:keepLines/>
      <w:spacing w:before="480" w:after="0"/>
      <w:outlineLvl w:val="0"/>
    </w:pPr>
    <w:rPr>
      <w:rFonts w:eastAsiaTheme="majorEastAsia" w:cstheme="majorBidi"/>
      <w:b/>
      <w:bCs/>
      <w:sz w:val="28"/>
      <w:szCs w:val="28"/>
    </w:rPr>
  </w:style>
  <w:style w:type="paragraph" w:styleId="Otsikko2">
    <w:name w:val="heading 2"/>
    <w:aliases w:val="2 Tason otsikko"/>
    <w:basedOn w:val="Normaali"/>
    <w:next w:val="Normaali"/>
    <w:link w:val="Otsikko2Char"/>
    <w:uiPriority w:val="9"/>
    <w:unhideWhenUsed/>
    <w:qFormat/>
    <w:rsid w:val="00EC000C"/>
    <w:pPr>
      <w:keepNext/>
      <w:keepLines/>
      <w:spacing w:before="200" w:after="0"/>
      <w:outlineLvl w:val="1"/>
    </w:pPr>
    <w:rPr>
      <w:rFonts w:eastAsiaTheme="majorEastAsia" w:cstheme="majorBidi"/>
      <w:b/>
      <w:bCs/>
      <w:sz w:val="24"/>
      <w:szCs w:val="26"/>
    </w:rPr>
  </w:style>
  <w:style w:type="paragraph" w:styleId="Otsikko3">
    <w:name w:val="heading 3"/>
    <w:aliases w:val="3 Tason otsikko"/>
    <w:basedOn w:val="Normaali"/>
    <w:next w:val="Normaali"/>
    <w:link w:val="Otsikko3Char"/>
    <w:uiPriority w:val="9"/>
    <w:unhideWhenUsed/>
    <w:qFormat/>
    <w:rsid w:val="00EC000C"/>
    <w:pPr>
      <w:keepNext/>
      <w:keepLines/>
      <w:spacing w:before="200" w:after="0"/>
      <w:outlineLvl w:val="2"/>
    </w:pPr>
    <w:rPr>
      <w:rFonts w:eastAsiaTheme="majorEastAsia" w:cstheme="majorBidi"/>
      <w:b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21A4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1A4A"/>
  </w:style>
  <w:style w:type="paragraph" w:styleId="Alatunniste">
    <w:name w:val="footer"/>
    <w:basedOn w:val="Normaali"/>
    <w:link w:val="AlatunnisteChar"/>
    <w:uiPriority w:val="99"/>
    <w:unhideWhenUsed/>
    <w:rsid w:val="00621A4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1A4A"/>
  </w:style>
  <w:style w:type="paragraph" w:styleId="Seliteteksti">
    <w:name w:val="Balloon Text"/>
    <w:basedOn w:val="Normaali"/>
    <w:link w:val="SelitetekstiChar"/>
    <w:uiPriority w:val="99"/>
    <w:semiHidden/>
    <w:unhideWhenUsed/>
    <w:rsid w:val="00621A4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21A4A"/>
    <w:rPr>
      <w:rFonts w:ascii="Tahoma" w:hAnsi="Tahoma" w:cs="Tahoma"/>
      <w:sz w:val="16"/>
      <w:szCs w:val="16"/>
    </w:rPr>
  </w:style>
  <w:style w:type="character" w:styleId="Hyperlinkki">
    <w:name w:val="Hyperlink"/>
    <w:basedOn w:val="Kappaleenoletusfontti"/>
    <w:uiPriority w:val="99"/>
    <w:unhideWhenUsed/>
    <w:rsid w:val="005F6F6E"/>
    <w:rPr>
      <w:color w:val="0000FF" w:themeColor="hyperlink"/>
      <w:u w:val="single"/>
    </w:rPr>
  </w:style>
  <w:style w:type="table" w:styleId="TaulukkoRuudukko">
    <w:name w:val="Table Grid"/>
    <w:basedOn w:val="Normaalitaulukko"/>
    <w:uiPriority w:val="59"/>
    <w:rsid w:val="005F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ext">
    <w:name w:val="CV text"/>
    <w:basedOn w:val="Normaali"/>
    <w:link w:val="CVtextChar"/>
    <w:autoRedefine/>
    <w:uiPriority w:val="99"/>
    <w:rsid w:val="00F35690"/>
    <w:pPr>
      <w:spacing w:after="0" w:line="280" w:lineRule="atLeast"/>
    </w:pPr>
    <w:rPr>
      <w:rFonts w:ascii="Arial" w:eastAsia="Times New Roman" w:hAnsi="Arial" w:cs="Arial"/>
      <w:bCs/>
      <w:color w:val="000000"/>
      <w:sz w:val="18"/>
      <w:szCs w:val="16"/>
    </w:rPr>
  </w:style>
  <w:style w:type="paragraph" w:customStyle="1" w:styleId="CVtextBold">
    <w:name w:val="CV text  Bold"/>
    <w:basedOn w:val="CVtext"/>
    <w:link w:val="CVtextBoldCharChar"/>
    <w:autoRedefine/>
    <w:uiPriority w:val="99"/>
    <w:rsid w:val="00F35690"/>
    <w:rPr>
      <w:b/>
    </w:rPr>
  </w:style>
  <w:style w:type="character" w:customStyle="1" w:styleId="CVtextChar">
    <w:name w:val="CV text Char"/>
    <w:link w:val="CVtext"/>
    <w:uiPriority w:val="99"/>
    <w:locked/>
    <w:rsid w:val="00F35690"/>
    <w:rPr>
      <w:rFonts w:ascii="Arial" w:eastAsia="Times New Roman" w:hAnsi="Arial" w:cs="Arial"/>
      <w:bCs/>
      <w:color w:val="000000"/>
      <w:sz w:val="18"/>
      <w:szCs w:val="16"/>
      <w:lang w:val="en-GB"/>
    </w:rPr>
  </w:style>
  <w:style w:type="character" w:customStyle="1" w:styleId="CVtextBoldCharChar">
    <w:name w:val="CV text  Bold Char Char"/>
    <w:link w:val="CVtextBold"/>
    <w:uiPriority w:val="99"/>
    <w:locked/>
    <w:rsid w:val="00F35690"/>
    <w:rPr>
      <w:rFonts w:ascii="Arial" w:eastAsia="Times New Roman" w:hAnsi="Arial" w:cs="Arial"/>
      <w:b/>
      <w:bCs/>
      <w:color w:val="000000"/>
      <w:sz w:val="18"/>
      <w:szCs w:val="16"/>
      <w:lang w:val="en-GB"/>
    </w:rPr>
  </w:style>
  <w:style w:type="paragraph" w:customStyle="1" w:styleId="CVitems">
    <w:name w:val="CV items"/>
    <w:basedOn w:val="Normaali"/>
    <w:link w:val="CVitemsChar"/>
    <w:autoRedefine/>
    <w:uiPriority w:val="99"/>
    <w:rsid w:val="00F35690"/>
    <w:pPr>
      <w:spacing w:after="0" w:line="280" w:lineRule="atLeast"/>
      <w:jc w:val="right"/>
    </w:pPr>
    <w:rPr>
      <w:rFonts w:ascii="Arial" w:eastAsia="Times New Roman" w:hAnsi="Arial" w:cs="Times New Roman"/>
      <w:b/>
      <w:color w:val="800000"/>
      <w:sz w:val="18"/>
      <w:szCs w:val="24"/>
      <w:lang w:val="en-US"/>
    </w:rPr>
  </w:style>
  <w:style w:type="character" w:customStyle="1" w:styleId="CVitemsChar">
    <w:name w:val="CV items Char"/>
    <w:link w:val="CVitems"/>
    <w:uiPriority w:val="99"/>
    <w:locked/>
    <w:rsid w:val="00F35690"/>
    <w:rPr>
      <w:rFonts w:ascii="Arial" w:eastAsia="Times New Roman" w:hAnsi="Arial" w:cs="Times New Roman"/>
      <w:b/>
      <w:color w:val="800000"/>
      <w:sz w:val="18"/>
      <w:szCs w:val="24"/>
      <w:lang w:val="en-US"/>
    </w:rPr>
  </w:style>
  <w:style w:type="paragraph" w:customStyle="1" w:styleId="Potsikko">
    <w:name w:val="Pääotsikko"/>
    <w:basedOn w:val="Normaali"/>
    <w:next w:val="Normaali"/>
    <w:qFormat/>
    <w:rsid w:val="00EC000C"/>
    <w:rPr>
      <w:sz w:val="40"/>
      <w:szCs w:val="40"/>
      <w:lang w:val="en-US"/>
    </w:rPr>
  </w:style>
  <w:style w:type="paragraph" w:customStyle="1" w:styleId="CVTableHeading">
    <w:name w:val="CV_Table_Heading"/>
    <w:basedOn w:val="Normaali"/>
    <w:rsid w:val="00554F43"/>
    <w:pPr>
      <w:spacing w:after="0" w:line="240" w:lineRule="auto"/>
    </w:pPr>
    <w:rPr>
      <w:b/>
      <w:sz w:val="24"/>
      <w:szCs w:val="24"/>
      <w:lang w:val="en-US"/>
    </w:rPr>
  </w:style>
  <w:style w:type="paragraph" w:customStyle="1" w:styleId="CVTableHeading2">
    <w:name w:val="CV_Table_Heading2"/>
    <w:basedOn w:val="Normaali"/>
    <w:rsid w:val="00554F43"/>
    <w:pPr>
      <w:spacing w:after="0"/>
      <w:jc w:val="right"/>
    </w:pPr>
    <w:rPr>
      <w:b/>
      <w:sz w:val="20"/>
      <w:szCs w:val="20"/>
      <w:lang w:val="en-US"/>
    </w:rPr>
  </w:style>
  <w:style w:type="paragraph" w:customStyle="1" w:styleId="CVTableText">
    <w:name w:val="CV_Table_Text"/>
    <w:basedOn w:val="Normaali"/>
    <w:rsid w:val="00554F43"/>
    <w:pPr>
      <w:spacing w:after="0"/>
    </w:pPr>
    <w:rPr>
      <w:sz w:val="20"/>
      <w:szCs w:val="20"/>
      <w:lang w:val="en-US"/>
    </w:rPr>
  </w:style>
  <w:style w:type="character" w:customStyle="1" w:styleId="Otsikko1Char">
    <w:name w:val="Otsikko 1 Char"/>
    <w:aliases w:val="1 tason otsikko Char"/>
    <w:basedOn w:val="Kappaleenoletusfontti"/>
    <w:link w:val="Otsikko1"/>
    <w:uiPriority w:val="9"/>
    <w:rsid w:val="00EC000C"/>
    <w:rPr>
      <w:rFonts w:eastAsiaTheme="majorEastAsia" w:cstheme="majorBidi"/>
      <w:b/>
      <w:bCs/>
      <w:color w:val="333333"/>
      <w:sz w:val="28"/>
      <w:szCs w:val="28"/>
      <w:lang w:val="en-US"/>
    </w:rPr>
  </w:style>
  <w:style w:type="character" w:customStyle="1" w:styleId="Otsikko2Char">
    <w:name w:val="Otsikko 2 Char"/>
    <w:aliases w:val="2 Tason otsikko Char"/>
    <w:basedOn w:val="Kappaleenoletusfontti"/>
    <w:link w:val="Otsikko2"/>
    <w:uiPriority w:val="9"/>
    <w:rsid w:val="00EC000C"/>
    <w:rPr>
      <w:rFonts w:eastAsiaTheme="majorEastAsia" w:cstheme="majorBidi"/>
      <w:b/>
      <w:bCs/>
      <w:color w:val="333333"/>
      <w:sz w:val="24"/>
      <w:szCs w:val="26"/>
    </w:rPr>
  </w:style>
  <w:style w:type="character" w:customStyle="1" w:styleId="Otsikko3Char">
    <w:name w:val="Otsikko 3 Char"/>
    <w:aliases w:val="3 Tason otsikko Char"/>
    <w:basedOn w:val="Kappaleenoletusfontti"/>
    <w:link w:val="Otsikko3"/>
    <w:uiPriority w:val="9"/>
    <w:rsid w:val="00EC000C"/>
    <w:rPr>
      <w:rFonts w:eastAsiaTheme="majorEastAsia" w:cstheme="majorBidi"/>
      <w:bCs/>
      <w:color w:val="333333"/>
      <w:sz w:val="24"/>
    </w:rPr>
  </w:style>
  <w:style w:type="paragraph" w:customStyle="1" w:styleId="Kuvateksti">
    <w:name w:val="Kuvateksti"/>
    <w:basedOn w:val="Normaali"/>
    <w:next w:val="Normaali"/>
    <w:link w:val="KuvatekstiChar"/>
    <w:qFormat/>
    <w:rsid w:val="00EC000C"/>
    <w:rPr>
      <w:i/>
    </w:rPr>
  </w:style>
  <w:style w:type="character" w:customStyle="1" w:styleId="KuvatekstiChar">
    <w:name w:val="Kuvateksti Char"/>
    <w:basedOn w:val="Kappaleenoletusfontti"/>
    <w:link w:val="Kuvateksti"/>
    <w:rsid w:val="00EC000C"/>
    <w:rPr>
      <w:i/>
      <w:color w:val="333333"/>
    </w:rPr>
  </w:style>
  <w:style w:type="paragraph" w:styleId="Luettelokappale">
    <w:name w:val="List Paragraph"/>
    <w:basedOn w:val="Normaali"/>
    <w:uiPriority w:val="34"/>
    <w:qFormat/>
    <w:rsid w:val="00FA3361"/>
    <w:pPr>
      <w:ind w:left="720"/>
      <w:contextualSpacing/>
    </w:pPr>
  </w:style>
  <w:style w:type="character" w:styleId="Ratkaisematonmaininta">
    <w:name w:val="Unresolved Mention"/>
    <w:basedOn w:val="Kappaleenoletusfontti"/>
    <w:uiPriority w:val="99"/>
    <w:semiHidden/>
    <w:unhideWhenUsed/>
    <w:rsid w:val="00FC0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eomoreconsulting.sharepoint.com/Templates/Neomore%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4A9E58D12EDD4E841A8BB89BD35EAA" ma:contentTypeVersion="4" ma:contentTypeDescription="Create a new document." ma:contentTypeScope="" ma:versionID="dcf6e021d7057dbe367e8e1b52bc41d2">
  <xsd:schema xmlns:xsd="http://www.w3.org/2001/XMLSchema" xmlns:xs="http://www.w3.org/2001/XMLSchema" xmlns:p="http://schemas.microsoft.com/office/2006/metadata/properties" xmlns:ns2="778a705a-adbd-4973-b72d-9211a5193873" targetNamespace="http://schemas.microsoft.com/office/2006/metadata/properties" ma:root="true" ma:fieldsID="9efe0dcf1875cba8614bb8fb8a24d54c" ns2:_="">
    <xsd:import namespace="778a705a-adbd-4973-b72d-9211a51938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a705a-adbd-4973-b72d-9211a5193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DD306-1605-4BD3-8226-1B1A9C3A8A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06A180-BD5E-467F-AA51-E4A84AF14946}">
  <ds:schemaRefs>
    <ds:schemaRef ds:uri="http://schemas.microsoft.com/sharepoint/v3/contenttype/forms"/>
  </ds:schemaRefs>
</ds:datastoreItem>
</file>

<file path=customXml/itemProps3.xml><?xml version="1.0" encoding="utf-8"?>
<ds:datastoreItem xmlns:ds="http://schemas.openxmlformats.org/officeDocument/2006/customXml" ds:itemID="{8F1A5651-96C7-4BF3-A331-7D49DA32AABF}">
  <ds:schemaRefs>
    <ds:schemaRef ds:uri="http://schemas.openxmlformats.org/officeDocument/2006/bibliography"/>
  </ds:schemaRefs>
</ds:datastoreItem>
</file>

<file path=customXml/itemProps4.xml><?xml version="1.0" encoding="utf-8"?>
<ds:datastoreItem xmlns:ds="http://schemas.openxmlformats.org/officeDocument/2006/customXml" ds:itemID="{5625AD55-0D8E-4B87-B4B1-9B8221DA5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a705a-adbd-4973-b72d-9211a5193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Neomore%20empty%20template</Template>
  <TotalTime>1</TotalTime>
  <Pages>3</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Arto Julkunen</dc:creator>
  <cp:lastModifiedBy>Ida Leppänen</cp:lastModifiedBy>
  <cp:revision>6</cp:revision>
  <cp:lastPrinted>2024-05-28T08:29:00Z</cp:lastPrinted>
  <dcterms:created xsi:type="dcterms:W3CDTF">2024-05-16T10:11:00Z</dcterms:created>
  <dcterms:modified xsi:type="dcterms:W3CDTF">2025-11-10T12:30:00Z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0x010100A84A9E58D12EDD4E841A8BB89BD35EAA</vt:lpwstr>
  </property>
  <property fmtid="{D5CDD505-2E9C-101B-9397-08002B2CF9AE}" pid="3" name="MSIP_Label_34653ff5-bdd9-4615-81b7-4d27b30657d9_Enabled">
    <vt:lpwstr>true</vt:lpwstr>
  </property>
  <property fmtid="{D5CDD505-2E9C-101B-9397-08002B2CF9AE}" pid="4" name="MSIP_Label_34653ff5-bdd9-4615-81b7-4d27b30657d9_SetDate">
    <vt:lpwstr>2025-11-10T12:30:37Z</vt:lpwstr>
  </property>
  <property fmtid="{D5CDD505-2E9C-101B-9397-08002B2CF9AE}" pid="5" name="MSIP_Label_34653ff5-bdd9-4615-81b7-4d27b30657d9_Method">
    <vt:lpwstr>Standard</vt:lpwstr>
  </property>
  <property fmtid="{D5CDD505-2E9C-101B-9397-08002B2CF9AE}" pid="6" name="MSIP_Label_34653ff5-bdd9-4615-81b7-4d27b30657d9_Name">
    <vt:lpwstr>General</vt:lpwstr>
  </property>
  <property fmtid="{D5CDD505-2E9C-101B-9397-08002B2CF9AE}" pid="7" name="MSIP_Label_34653ff5-bdd9-4615-81b7-4d27b30657d9_SiteId">
    <vt:lpwstr>f543093f-25f6-4c25-9fd3-715e30655be9</vt:lpwstr>
  </property>
  <property fmtid="{D5CDD505-2E9C-101B-9397-08002B2CF9AE}" pid="8" name="MSIP_Label_34653ff5-bdd9-4615-81b7-4d27b30657d9_ActionId">
    <vt:lpwstr>a170f229-61a8-4c4d-8000-07b90687f9f8</vt:lpwstr>
  </property>
  <property fmtid="{D5CDD505-2E9C-101B-9397-08002B2CF9AE}" pid="9" name="MSIP_Label_34653ff5-bdd9-4615-81b7-4d27b30657d9_ContentBits">
    <vt:lpwstr>0</vt:lpwstr>
  </property>
  <property fmtid="{D5CDD505-2E9C-101B-9397-08002B2CF9AE}" pid="10" name="MSIP_Label_34653ff5-bdd9-4615-81b7-4d27b30657d9_Tag">
    <vt:lpwstr>10, 3, 0, 1</vt:lpwstr>
  </property>
</Properties>
</file>